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5332F6">
      <w:pPr>
        <w:keepNext w:val="0"/>
        <w:keepLines w:val="0"/>
        <w:pageBreakBefore w:val="0"/>
        <w:widowControl/>
        <w:kinsoku/>
        <w:wordWrap/>
        <w:overflowPunct/>
        <w:topLinePunct w:val="0"/>
        <w:autoSpaceDE/>
        <w:autoSpaceDN/>
        <w:bidi w:val="0"/>
        <w:adjustRightInd/>
        <w:snapToGrid/>
        <w:spacing w:after="0" w:line="580" w:lineRule="exact"/>
        <w:jc w:val="left"/>
        <w:textAlignment w:val="auto"/>
        <w:rPr>
          <w:rFonts w:hint="eastAsia" w:eastAsia="黑体"/>
          <w:lang w:eastAsia="zh-CN"/>
        </w:rPr>
      </w:pPr>
      <w:bookmarkStart w:id="0" w:name="_GoBack"/>
      <w:bookmarkEnd w:id="0"/>
      <w:r>
        <w:rPr>
          <w:rFonts w:ascii="黑体" w:hAnsi="黑体" w:eastAsia="黑体"/>
          <w:sz w:val="28"/>
        </w:rPr>
        <w:t>附件</w:t>
      </w:r>
      <w:r>
        <w:rPr>
          <w:rFonts w:hint="eastAsia" w:ascii="黑体" w:hAnsi="黑体" w:eastAsia="黑体"/>
          <w:sz w:val="28"/>
          <w:lang w:val="en-US" w:eastAsia="zh-CN"/>
        </w:rPr>
        <w:t>3</w:t>
      </w:r>
    </w:p>
    <w:p w14:paraId="68A6F640">
      <w:pPr>
        <w:jc w:val="center"/>
        <w:rPr>
          <w:b w:val="0"/>
          <w:bCs/>
          <w:sz w:val="44"/>
          <w:szCs w:val="44"/>
        </w:rPr>
      </w:pPr>
      <w:r>
        <w:rPr>
          <w:rFonts w:ascii="方正小标宋简体" w:hAnsi="方正小标宋简体" w:eastAsia="方正小标宋简体"/>
          <w:b w:val="0"/>
          <w:bCs/>
          <w:sz w:val="44"/>
          <w:szCs w:val="44"/>
        </w:rPr>
        <w:t>大同市</w:t>
      </w:r>
      <w:r>
        <w:rPr>
          <w:rFonts w:hint="eastAsia" w:ascii="方正小标宋简体" w:hAnsi="方正小标宋简体" w:eastAsia="方正小标宋简体"/>
          <w:b w:val="0"/>
          <w:bCs/>
          <w:sz w:val="44"/>
          <w:szCs w:val="44"/>
          <w:lang w:eastAsia="zh-CN"/>
        </w:rPr>
        <w:t>“</w:t>
      </w:r>
      <w:r>
        <w:rPr>
          <w:rFonts w:ascii="方正小标宋简体" w:hAnsi="方正小标宋简体" w:eastAsia="方正小标宋简体"/>
          <w:b w:val="0"/>
          <w:bCs/>
          <w:sz w:val="44"/>
          <w:szCs w:val="44"/>
        </w:rPr>
        <w:t>好房子</w:t>
      </w:r>
      <w:r>
        <w:rPr>
          <w:rFonts w:hint="eastAsia" w:ascii="方正小标宋简体" w:hAnsi="方正小标宋简体" w:eastAsia="方正小标宋简体"/>
          <w:b w:val="0"/>
          <w:bCs/>
          <w:sz w:val="44"/>
          <w:szCs w:val="44"/>
          <w:lang w:eastAsia="zh-CN"/>
        </w:rPr>
        <w:t>”</w:t>
      </w:r>
      <w:r>
        <w:rPr>
          <w:rFonts w:ascii="方正小标宋简体" w:hAnsi="方正小标宋简体" w:eastAsia="方正小标宋简体"/>
          <w:b w:val="0"/>
          <w:bCs/>
          <w:sz w:val="44"/>
          <w:szCs w:val="44"/>
        </w:rPr>
        <w:t>分级评价自查记录表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4"/>
        <w:gridCol w:w="8504"/>
        <w:gridCol w:w="4535"/>
      </w:tblGrid>
      <w:tr w14:paraId="75AE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504" w:type="dxa"/>
            <w:shd w:val="clear" w:color="auto" w:fill="F2F2F2"/>
            <w:vAlign w:val="center"/>
          </w:tcPr>
          <w:p w14:paraId="0C08D654">
            <w:pPr>
              <w:spacing w:after="0" w:line="240" w:lineRule="auto"/>
              <w:jc w:val="center"/>
              <w:rPr>
                <w:b w:val="0"/>
                <w:bCs/>
                <w:sz w:val="28"/>
                <w:szCs w:val="28"/>
              </w:rPr>
            </w:pPr>
            <w:r>
              <w:rPr>
                <w:rFonts w:ascii="黑体" w:hAnsi="黑体" w:eastAsia="黑体"/>
                <w:b w:val="0"/>
                <w:bCs/>
                <w:sz w:val="28"/>
                <w:szCs w:val="28"/>
              </w:rPr>
              <w:t>项目名称</w:t>
            </w:r>
          </w:p>
        </w:tc>
        <w:tc>
          <w:tcPr>
            <w:tcW w:w="8504" w:type="dxa"/>
            <w:vAlign w:val="center"/>
          </w:tcPr>
          <w:p w14:paraId="625F08BC">
            <w:pPr>
              <w:spacing w:after="0" w:line="240" w:lineRule="auto"/>
            </w:pPr>
          </w:p>
        </w:tc>
        <w:tc>
          <w:tcPr>
            <w:tcW w:w="4535" w:type="dxa"/>
            <w:vMerge w:val="restart"/>
            <w:vAlign w:val="center"/>
          </w:tcPr>
          <w:p w14:paraId="2DBD63FF">
            <w:pPr>
              <w:spacing w:after="0" w:line="240" w:lineRule="auto"/>
              <w:jc w:val="center"/>
              <w:rPr>
                <w:sz w:val="24"/>
                <w:szCs w:val="24"/>
              </w:rPr>
            </w:pPr>
            <w:r>
              <w:rPr>
                <w:rFonts w:ascii="仿宋_GB2312" w:hAnsi="仿宋_GB2312" w:eastAsia="仿宋_GB2312"/>
                <w:b w:val="0"/>
                <w:sz w:val="24"/>
                <w:szCs w:val="24"/>
              </w:rPr>
              <w:t>评价类型：□设计评价  □运行评价</w:t>
            </w:r>
          </w:p>
        </w:tc>
      </w:tr>
      <w:tr w14:paraId="2B5E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504" w:type="dxa"/>
            <w:shd w:val="clear" w:color="auto" w:fill="F2F2F2"/>
            <w:vAlign w:val="center"/>
          </w:tcPr>
          <w:p w14:paraId="7268064B">
            <w:pPr>
              <w:spacing w:after="0" w:line="240" w:lineRule="auto"/>
              <w:jc w:val="center"/>
              <w:rPr>
                <w:rFonts w:ascii="黑体" w:hAnsi="黑体" w:eastAsia="黑体"/>
                <w:b w:val="0"/>
                <w:bCs/>
                <w:sz w:val="28"/>
                <w:szCs w:val="28"/>
              </w:rPr>
            </w:pPr>
            <w:r>
              <w:rPr>
                <w:rFonts w:ascii="黑体" w:hAnsi="黑体" w:eastAsia="黑体"/>
                <w:b w:val="0"/>
                <w:bCs/>
                <w:sz w:val="28"/>
                <w:szCs w:val="28"/>
              </w:rPr>
              <w:t>项目地址</w:t>
            </w:r>
          </w:p>
        </w:tc>
        <w:tc>
          <w:tcPr>
            <w:tcW w:w="8504" w:type="dxa"/>
            <w:vAlign w:val="center"/>
          </w:tcPr>
          <w:p w14:paraId="54E81ACB">
            <w:pPr>
              <w:spacing w:after="0" w:line="240" w:lineRule="auto"/>
            </w:pPr>
          </w:p>
        </w:tc>
        <w:tc>
          <w:tcPr>
            <w:tcW w:w="4535" w:type="dxa"/>
            <w:vMerge w:val="continue"/>
            <w:vAlign w:val="center"/>
          </w:tcPr>
          <w:p w14:paraId="32BB690A">
            <w:pPr>
              <w:spacing w:after="0" w:line="240" w:lineRule="auto"/>
              <w:jc w:val="center"/>
              <w:rPr>
                <w:rFonts w:ascii="仿宋_GB2312" w:hAnsi="仿宋_GB2312" w:eastAsia="仿宋_GB2312"/>
                <w:b w:val="0"/>
                <w:sz w:val="24"/>
                <w:szCs w:val="24"/>
              </w:rPr>
            </w:pPr>
          </w:p>
        </w:tc>
      </w:tr>
      <w:tr w14:paraId="1608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04" w:type="dxa"/>
            <w:shd w:val="clear" w:color="auto" w:fill="F2F2F2"/>
            <w:vAlign w:val="center"/>
          </w:tcPr>
          <w:p w14:paraId="168E0776">
            <w:pPr>
              <w:spacing w:after="0" w:line="240" w:lineRule="auto"/>
              <w:jc w:val="center"/>
              <w:rPr>
                <w:rFonts w:hint="default" w:ascii="黑体" w:hAnsi="黑体" w:eastAsia="黑体"/>
                <w:b w:val="0"/>
                <w:bCs/>
                <w:sz w:val="28"/>
                <w:szCs w:val="28"/>
                <w:lang w:val="en-US" w:eastAsia="zh-CN"/>
              </w:rPr>
            </w:pPr>
            <w:r>
              <w:rPr>
                <w:rFonts w:hint="eastAsia" w:ascii="黑体" w:hAnsi="黑体" w:eastAsia="黑体"/>
                <w:b w:val="0"/>
                <w:bCs/>
                <w:sz w:val="28"/>
                <w:szCs w:val="28"/>
                <w:lang w:val="en-US" w:eastAsia="zh-CN"/>
              </w:rPr>
              <w:t>建设单位</w:t>
            </w:r>
          </w:p>
        </w:tc>
        <w:tc>
          <w:tcPr>
            <w:tcW w:w="8504" w:type="dxa"/>
            <w:vAlign w:val="center"/>
          </w:tcPr>
          <w:p w14:paraId="729C07EB">
            <w:pPr>
              <w:spacing w:after="0" w:line="240" w:lineRule="auto"/>
            </w:pPr>
          </w:p>
        </w:tc>
        <w:tc>
          <w:tcPr>
            <w:tcW w:w="4535" w:type="dxa"/>
            <w:vAlign w:val="center"/>
          </w:tcPr>
          <w:p w14:paraId="209E1F41">
            <w:pPr>
              <w:spacing w:after="0" w:line="240" w:lineRule="auto"/>
              <w:jc w:val="center"/>
              <w:rPr>
                <w:sz w:val="24"/>
                <w:szCs w:val="24"/>
              </w:rPr>
            </w:pPr>
            <w:r>
              <w:rPr>
                <w:rFonts w:ascii="仿宋_GB2312" w:hAnsi="仿宋_GB2312" w:eastAsia="仿宋_GB2312"/>
                <w:b w:val="0"/>
                <w:sz w:val="24"/>
                <w:szCs w:val="24"/>
              </w:rPr>
              <w:t xml:space="preserve">自查日期：   </w:t>
            </w:r>
            <w:r>
              <w:rPr>
                <w:rFonts w:hint="eastAsia" w:ascii="仿宋_GB2312" w:hAnsi="仿宋_GB2312" w:eastAsia="仿宋_GB2312"/>
                <w:b w:val="0"/>
                <w:sz w:val="24"/>
                <w:szCs w:val="24"/>
                <w:lang w:val="en-US" w:eastAsia="zh-CN"/>
              </w:rPr>
              <w:t xml:space="preserve"> </w:t>
            </w:r>
            <w:r>
              <w:rPr>
                <w:rFonts w:ascii="仿宋_GB2312" w:hAnsi="仿宋_GB2312" w:eastAsia="仿宋_GB2312"/>
                <w:b w:val="0"/>
                <w:sz w:val="24"/>
                <w:szCs w:val="24"/>
              </w:rPr>
              <w:t xml:space="preserve"> 年 </w:t>
            </w:r>
            <w:r>
              <w:rPr>
                <w:rFonts w:hint="eastAsia" w:ascii="仿宋_GB2312" w:hAnsi="仿宋_GB2312" w:eastAsia="仿宋_GB2312"/>
                <w:b w:val="0"/>
                <w:sz w:val="24"/>
                <w:szCs w:val="24"/>
                <w:lang w:val="en-US" w:eastAsia="zh-CN"/>
              </w:rPr>
              <w:t xml:space="preserve">  </w:t>
            </w:r>
            <w:r>
              <w:rPr>
                <w:rFonts w:ascii="仿宋_GB2312" w:hAnsi="仿宋_GB2312" w:eastAsia="仿宋_GB2312"/>
                <w:b w:val="0"/>
                <w:sz w:val="24"/>
                <w:szCs w:val="24"/>
              </w:rPr>
              <w:t xml:space="preserve"> 月  </w:t>
            </w:r>
            <w:r>
              <w:rPr>
                <w:rFonts w:hint="eastAsia" w:ascii="仿宋_GB2312" w:hAnsi="仿宋_GB2312" w:eastAsia="仿宋_GB2312"/>
                <w:b w:val="0"/>
                <w:sz w:val="24"/>
                <w:szCs w:val="24"/>
                <w:lang w:val="en-US" w:eastAsia="zh-CN"/>
              </w:rPr>
              <w:t xml:space="preserve">  </w:t>
            </w:r>
            <w:r>
              <w:rPr>
                <w:rFonts w:ascii="仿宋_GB2312" w:hAnsi="仿宋_GB2312" w:eastAsia="仿宋_GB2312"/>
                <w:b w:val="0"/>
                <w:sz w:val="24"/>
                <w:szCs w:val="24"/>
              </w:rPr>
              <w:t>日</w:t>
            </w:r>
          </w:p>
        </w:tc>
      </w:tr>
    </w:tbl>
    <w:p w14:paraId="1479D19A">
      <w:pPr>
        <w:rPr>
          <w:rFonts w:ascii="黑体" w:hAnsi="黑体" w:eastAsia="黑体"/>
          <w:b/>
          <w:sz w:val="28"/>
          <w:szCs w:val="28"/>
        </w:rPr>
      </w:pPr>
    </w:p>
    <w:p w14:paraId="4B038146">
      <w:pPr>
        <w:rPr>
          <w:rFonts w:ascii="黑体" w:hAnsi="黑体" w:eastAsia="黑体"/>
          <w:b/>
          <w:sz w:val="28"/>
          <w:szCs w:val="28"/>
        </w:rPr>
      </w:pPr>
      <w:r>
        <w:rPr>
          <w:rFonts w:ascii="黑体" w:hAnsi="黑体" w:eastAsia="黑体"/>
          <w:b/>
          <w:sz w:val="28"/>
          <w:szCs w:val="28"/>
        </w:rPr>
        <w:t>一、安全耐久</w:t>
      </w:r>
    </w:p>
    <w:p w14:paraId="00B1C11E">
      <w:pPr>
        <w:rPr>
          <w:rFonts w:ascii="楷体_GB2312" w:hAnsi="楷体_GB2312" w:eastAsia="楷体_GB2312"/>
          <w:b/>
          <w:bCs w:val="0"/>
          <w:sz w:val="28"/>
          <w:szCs w:val="28"/>
        </w:rPr>
      </w:pPr>
      <w:r>
        <w:rPr>
          <w:rFonts w:ascii="楷体_GB2312" w:hAnsi="楷体_GB2312" w:eastAsia="楷体_GB2312"/>
          <w:b/>
          <w:bCs w:val="0"/>
          <w:sz w:val="28"/>
          <w:szCs w:val="28"/>
        </w:rPr>
        <w:t>（一）控制项（共31条）</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0348"/>
        <w:gridCol w:w="1603"/>
        <w:gridCol w:w="1769"/>
      </w:tblGrid>
      <w:tr w14:paraId="711C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0" w:type="dxa"/>
            <w:shd w:val="clear" w:color="auto" w:fill="F2F2F2"/>
            <w:vAlign w:val="center"/>
          </w:tcPr>
          <w:p w14:paraId="4907F33D">
            <w:pPr>
              <w:spacing w:after="0" w:line="240" w:lineRule="auto"/>
              <w:jc w:val="center"/>
              <w:rPr>
                <w:rFonts w:ascii="黑体" w:hAnsi="黑体" w:eastAsia="黑体"/>
                <w:b/>
                <w:sz w:val="24"/>
                <w:szCs w:val="24"/>
              </w:rPr>
            </w:pPr>
            <w:r>
              <w:rPr>
                <w:rFonts w:ascii="黑体" w:hAnsi="黑体" w:eastAsia="黑体"/>
                <w:b/>
                <w:sz w:val="24"/>
                <w:szCs w:val="24"/>
              </w:rPr>
              <w:t>序号</w:t>
            </w:r>
          </w:p>
        </w:tc>
        <w:tc>
          <w:tcPr>
            <w:tcW w:w="10348" w:type="dxa"/>
            <w:shd w:val="clear" w:color="auto" w:fill="F2F2F2"/>
            <w:vAlign w:val="center"/>
          </w:tcPr>
          <w:p w14:paraId="4CC47A25">
            <w:pPr>
              <w:spacing w:after="0" w:line="240" w:lineRule="auto"/>
              <w:jc w:val="center"/>
              <w:rPr>
                <w:rFonts w:ascii="黑体" w:hAnsi="黑体" w:eastAsia="黑体"/>
                <w:b/>
                <w:sz w:val="24"/>
                <w:szCs w:val="24"/>
              </w:rPr>
            </w:pPr>
            <w:r>
              <w:rPr>
                <w:rFonts w:ascii="黑体" w:hAnsi="黑体" w:eastAsia="黑体"/>
                <w:b/>
                <w:sz w:val="24"/>
                <w:szCs w:val="24"/>
              </w:rPr>
              <w:t>控制项内容</w:t>
            </w:r>
          </w:p>
        </w:tc>
        <w:tc>
          <w:tcPr>
            <w:tcW w:w="1603" w:type="dxa"/>
            <w:shd w:val="clear" w:color="auto" w:fill="F2F2F2"/>
            <w:vAlign w:val="center"/>
          </w:tcPr>
          <w:p w14:paraId="3CCC8360">
            <w:pPr>
              <w:spacing w:after="0" w:line="240" w:lineRule="auto"/>
              <w:jc w:val="center"/>
              <w:rPr>
                <w:rFonts w:ascii="黑体" w:hAnsi="黑体" w:eastAsia="黑体"/>
                <w:b/>
                <w:sz w:val="24"/>
                <w:szCs w:val="24"/>
              </w:rPr>
            </w:pPr>
            <w:r>
              <w:rPr>
                <w:rFonts w:ascii="黑体" w:hAnsi="黑体" w:eastAsia="黑体"/>
                <w:b/>
                <w:sz w:val="24"/>
                <w:szCs w:val="24"/>
              </w:rPr>
              <w:t>自查结果</w:t>
            </w:r>
          </w:p>
        </w:tc>
        <w:tc>
          <w:tcPr>
            <w:tcW w:w="1769" w:type="dxa"/>
            <w:shd w:val="clear" w:color="auto" w:fill="F2F2F2"/>
            <w:vAlign w:val="center"/>
          </w:tcPr>
          <w:p w14:paraId="072B9A98">
            <w:pPr>
              <w:spacing w:after="0" w:line="240" w:lineRule="auto"/>
              <w:jc w:val="center"/>
              <w:rPr>
                <w:rFonts w:ascii="黑体" w:hAnsi="黑体" w:eastAsia="黑体"/>
                <w:b/>
                <w:sz w:val="24"/>
                <w:szCs w:val="24"/>
              </w:rPr>
            </w:pPr>
            <w:r>
              <w:rPr>
                <w:rFonts w:ascii="黑体" w:hAnsi="黑体" w:eastAsia="黑体"/>
                <w:b/>
                <w:sz w:val="24"/>
                <w:szCs w:val="24"/>
              </w:rPr>
              <w:t>备注</w:t>
            </w:r>
          </w:p>
        </w:tc>
      </w:tr>
      <w:tr w14:paraId="516D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16E66F6">
            <w:pPr>
              <w:spacing w:after="0" w:line="240" w:lineRule="auto"/>
              <w:jc w:val="center"/>
            </w:pPr>
            <w:r>
              <w:rPr>
                <w:rFonts w:ascii="仿宋_GB2312" w:hAnsi="仿宋_GB2312" w:eastAsia="仿宋_GB2312"/>
                <w:b w:val="0"/>
                <w:sz w:val="18"/>
              </w:rPr>
              <w:t>1</w:t>
            </w:r>
          </w:p>
        </w:tc>
        <w:tc>
          <w:tcPr>
            <w:tcW w:w="10348" w:type="dxa"/>
            <w:vAlign w:val="center"/>
          </w:tcPr>
          <w:p w14:paraId="5E37EDE1">
            <w:pPr>
              <w:spacing w:after="0" w:line="240" w:lineRule="auto"/>
            </w:pPr>
            <w:r>
              <w:rPr>
                <w:rFonts w:ascii="仿宋_GB2312" w:hAnsi="仿宋_GB2312" w:eastAsia="仿宋_GB2312"/>
                <w:b w:val="0"/>
                <w:sz w:val="18"/>
              </w:rPr>
              <w:t>场地应避开滑坡、泥石流、山洪、地震断裂带等自然灾害地段、生态敏感区及污染源；易发生洪涝地区应有可靠防洪涝基础设施；场地应无危险化学品、易燃易爆危险源，应无电磁辐射、含氡土壤的危害。</w:t>
            </w:r>
          </w:p>
        </w:tc>
        <w:tc>
          <w:tcPr>
            <w:tcW w:w="1603" w:type="dxa"/>
            <w:vAlign w:val="center"/>
          </w:tcPr>
          <w:p w14:paraId="6037523E">
            <w:pPr>
              <w:spacing w:after="0" w:line="240" w:lineRule="auto"/>
              <w:jc w:val="center"/>
            </w:pPr>
            <w:r>
              <w:rPr>
                <w:rFonts w:ascii="仿宋_GB2312" w:hAnsi="仿宋_GB2312" w:eastAsia="仿宋_GB2312"/>
                <w:b w:val="0"/>
                <w:sz w:val="18"/>
              </w:rPr>
              <w:t>□符合 □不符合</w:t>
            </w:r>
          </w:p>
        </w:tc>
        <w:tc>
          <w:tcPr>
            <w:tcW w:w="1769" w:type="dxa"/>
            <w:vAlign w:val="center"/>
          </w:tcPr>
          <w:p w14:paraId="07581AC2">
            <w:pPr>
              <w:spacing w:after="0" w:line="240" w:lineRule="auto"/>
            </w:pPr>
          </w:p>
        </w:tc>
      </w:tr>
      <w:tr w14:paraId="0BAD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F0D86AD">
            <w:pPr>
              <w:spacing w:after="0" w:line="240" w:lineRule="auto"/>
              <w:jc w:val="center"/>
            </w:pPr>
            <w:r>
              <w:rPr>
                <w:rFonts w:ascii="仿宋_GB2312" w:hAnsi="仿宋_GB2312" w:eastAsia="仿宋_GB2312"/>
                <w:b w:val="0"/>
                <w:sz w:val="18"/>
              </w:rPr>
              <w:t>2</w:t>
            </w:r>
          </w:p>
        </w:tc>
        <w:tc>
          <w:tcPr>
            <w:tcW w:w="10348" w:type="dxa"/>
            <w:vAlign w:val="center"/>
          </w:tcPr>
          <w:p w14:paraId="4F8E2C59">
            <w:pPr>
              <w:spacing w:after="0" w:line="240" w:lineRule="auto"/>
            </w:pPr>
            <w:r>
              <w:rPr>
                <w:rFonts w:ascii="仿宋_GB2312" w:hAnsi="仿宋_GB2312" w:eastAsia="仿宋_GB2312"/>
                <w:b w:val="0"/>
                <w:sz w:val="18"/>
              </w:rPr>
              <w:t>规划布局应结合项目所在地区的气候、地质、地形地貌等自然条件，遵循因地制宜原则，统筹规划各类功能空间与设施配置：①居住区的功能分区应清晰明确，配套设施应按照服务半径与人口规模合理设置，并与主体建筑同步设计、同步建设、同步交付使用；②总平面管线设计应与市政、电力、通信、环卫、燃气等部门协同推进，并应强化建筑、结构、机电、装修、景观等全专业一体化协同设计与施工；③合理设置机动车与非机动车停车位，电动自行车停车棚与充电设施不得设置在地下二层及以下空间。</w:t>
            </w:r>
          </w:p>
        </w:tc>
        <w:tc>
          <w:tcPr>
            <w:tcW w:w="1603" w:type="dxa"/>
            <w:vAlign w:val="center"/>
          </w:tcPr>
          <w:p w14:paraId="5B68A5C5">
            <w:pPr>
              <w:spacing w:after="0" w:line="240" w:lineRule="auto"/>
              <w:jc w:val="center"/>
            </w:pPr>
            <w:r>
              <w:rPr>
                <w:rFonts w:ascii="仿宋_GB2312" w:hAnsi="仿宋_GB2312" w:eastAsia="仿宋_GB2312"/>
                <w:b w:val="0"/>
                <w:sz w:val="18"/>
              </w:rPr>
              <w:t>□符合 □不符合</w:t>
            </w:r>
          </w:p>
        </w:tc>
        <w:tc>
          <w:tcPr>
            <w:tcW w:w="1769" w:type="dxa"/>
            <w:vAlign w:val="center"/>
          </w:tcPr>
          <w:p w14:paraId="1B1E2B6C">
            <w:pPr>
              <w:spacing w:after="0" w:line="240" w:lineRule="auto"/>
            </w:pPr>
          </w:p>
        </w:tc>
      </w:tr>
      <w:tr w14:paraId="3740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0295FE4">
            <w:pPr>
              <w:spacing w:after="0" w:line="240" w:lineRule="auto"/>
              <w:jc w:val="center"/>
            </w:pPr>
            <w:r>
              <w:rPr>
                <w:rFonts w:ascii="仿宋_GB2312" w:hAnsi="仿宋_GB2312" w:eastAsia="仿宋_GB2312"/>
                <w:b w:val="0"/>
                <w:sz w:val="18"/>
              </w:rPr>
              <w:t>3</w:t>
            </w:r>
          </w:p>
        </w:tc>
        <w:tc>
          <w:tcPr>
            <w:tcW w:w="10348" w:type="dxa"/>
            <w:vAlign w:val="center"/>
          </w:tcPr>
          <w:p w14:paraId="2F36D959">
            <w:pPr>
              <w:spacing w:after="0" w:line="240" w:lineRule="auto"/>
            </w:pPr>
            <w:r>
              <w:rPr>
                <w:rFonts w:ascii="仿宋_GB2312" w:hAnsi="仿宋_GB2312" w:eastAsia="仿宋_GB2312"/>
                <w:b w:val="0"/>
                <w:sz w:val="18"/>
              </w:rPr>
              <w:t>城市新建住宅高度≤80m，县城新建住宅以6层为主、最高≤18层，建筑高度与消防救援能力相匹配。</w:t>
            </w:r>
          </w:p>
        </w:tc>
        <w:tc>
          <w:tcPr>
            <w:tcW w:w="1603" w:type="dxa"/>
            <w:vAlign w:val="center"/>
          </w:tcPr>
          <w:p w14:paraId="7476BA6C">
            <w:pPr>
              <w:spacing w:after="0" w:line="240" w:lineRule="auto"/>
              <w:jc w:val="center"/>
            </w:pPr>
            <w:r>
              <w:rPr>
                <w:rFonts w:ascii="仿宋_GB2312" w:hAnsi="仿宋_GB2312" w:eastAsia="仿宋_GB2312"/>
                <w:b w:val="0"/>
                <w:sz w:val="18"/>
              </w:rPr>
              <w:t>□符合 □不符合</w:t>
            </w:r>
          </w:p>
        </w:tc>
        <w:tc>
          <w:tcPr>
            <w:tcW w:w="1769" w:type="dxa"/>
            <w:vAlign w:val="center"/>
          </w:tcPr>
          <w:p w14:paraId="4911CA48">
            <w:pPr>
              <w:spacing w:after="0" w:line="240" w:lineRule="auto"/>
            </w:pPr>
          </w:p>
        </w:tc>
      </w:tr>
      <w:tr w14:paraId="6FF3D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38A0786">
            <w:pPr>
              <w:spacing w:after="0" w:line="240" w:lineRule="auto"/>
              <w:jc w:val="center"/>
            </w:pPr>
            <w:r>
              <w:rPr>
                <w:rFonts w:ascii="仿宋_GB2312" w:hAnsi="仿宋_GB2312" w:eastAsia="仿宋_GB2312"/>
                <w:b w:val="0"/>
                <w:sz w:val="18"/>
              </w:rPr>
              <w:t>4</w:t>
            </w:r>
          </w:p>
        </w:tc>
        <w:tc>
          <w:tcPr>
            <w:tcW w:w="10348" w:type="dxa"/>
            <w:vAlign w:val="center"/>
          </w:tcPr>
          <w:p w14:paraId="0E879864">
            <w:pPr>
              <w:spacing w:after="0" w:line="240" w:lineRule="auto"/>
            </w:pPr>
            <w:r>
              <w:rPr>
                <w:rFonts w:ascii="仿宋_GB2312" w:hAnsi="仿宋_GB2312" w:eastAsia="仿宋_GB2312"/>
                <w:b w:val="0"/>
                <w:sz w:val="18"/>
              </w:rPr>
              <w:t>场地设计应符合下列规定：①存在洪涝威胁的场地应采取可靠的防洪、防内涝措施；②当场地标高低于市政道路标高及相邻用地标高时，应有防止客水流入场地的措施；③场地设计标高应高于常年最高地下水位；④场地竖向设计应有利于雨水的收集或排放，避免积水，并有效组织雨水的下渗、滞蓄或再利用；⑤居住区二次供水设施、变电所应确保不受内涝影响，不得设置在地势低洼和可能积水的地域。</w:t>
            </w:r>
          </w:p>
        </w:tc>
        <w:tc>
          <w:tcPr>
            <w:tcW w:w="1603" w:type="dxa"/>
            <w:vAlign w:val="center"/>
          </w:tcPr>
          <w:p w14:paraId="1298A5BE">
            <w:pPr>
              <w:spacing w:after="0" w:line="240" w:lineRule="auto"/>
              <w:jc w:val="center"/>
            </w:pPr>
            <w:r>
              <w:rPr>
                <w:rFonts w:ascii="仿宋_GB2312" w:hAnsi="仿宋_GB2312" w:eastAsia="仿宋_GB2312"/>
                <w:b w:val="0"/>
                <w:sz w:val="18"/>
              </w:rPr>
              <w:t>□符合 □不符合</w:t>
            </w:r>
          </w:p>
        </w:tc>
        <w:tc>
          <w:tcPr>
            <w:tcW w:w="1769" w:type="dxa"/>
            <w:vAlign w:val="center"/>
          </w:tcPr>
          <w:p w14:paraId="51F81B69">
            <w:pPr>
              <w:spacing w:after="0" w:line="240" w:lineRule="auto"/>
            </w:pPr>
          </w:p>
        </w:tc>
      </w:tr>
      <w:tr w14:paraId="186C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708ECF5">
            <w:pPr>
              <w:spacing w:after="0" w:line="240" w:lineRule="auto"/>
              <w:jc w:val="center"/>
            </w:pPr>
            <w:r>
              <w:rPr>
                <w:rFonts w:ascii="仿宋_GB2312" w:hAnsi="仿宋_GB2312" w:eastAsia="仿宋_GB2312"/>
                <w:b w:val="0"/>
                <w:sz w:val="18"/>
              </w:rPr>
              <w:t>5</w:t>
            </w:r>
          </w:p>
        </w:tc>
        <w:tc>
          <w:tcPr>
            <w:tcW w:w="10348" w:type="dxa"/>
            <w:vAlign w:val="center"/>
          </w:tcPr>
          <w:p w14:paraId="73B9C550">
            <w:pPr>
              <w:spacing w:after="0" w:line="240" w:lineRule="auto"/>
            </w:pPr>
            <w:r>
              <w:rPr>
                <w:rFonts w:ascii="仿宋_GB2312" w:hAnsi="仿宋_GB2312" w:eastAsia="仿宋_GB2312"/>
                <w:b w:val="0"/>
                <w:sz w:val="18"/>
              </w:rPr>
              <w:t>室内外地面防滑设计应符合下列规定：①厨房与卫生间地面铺装的静摩擦系数（COF）≥0.6；②老年人使用的卫生间地面防滑等级不应低于现行行业标准《建筑地面工程防滑技术规程》JGJ/T 331规定的Aw级和Ad级；③建筑出入口及平台、门厅、室内公共走廊、电梯门厅应设置防滑措施，防滑等级不应低于现行行业标准《建筑地面工程防滑技术规程》JGJ/T 331规定的Bd、Bw级；④室内坡道、楼梯踏步防滑等级不应低于现行行业标准《建筑地面工程防滑技术规程》JGJ/T 331规定的Ad、Aw级，并采用防滑条等防滑构造技术措施；⑤建筑室内外活动场所应采用防滑地面，防滑等级不应低于现行行业标准《建筑地面工程防滑技术规程》JGJ/T 331规定的Ad、Aw级，并在公共区域设置醒目标识。</w:t>
            </w:r>
          </w:p>
        </w:tc>
        <w:tc>
          <w:tcPr>
            <w:tcW w:w="1603" w:type="dxa"/>
            <w:vAlign w:val="center"/>
          </w:tcPr>
          <w:p w14:paraId="30960413">
            <w:pPr>
              <w:spacing w:after="0" w:line="240" w:lineRule="auto"/>
              <w:jc w:val="center"/>
            </w:pPr>
            <w:r>
              <w:rPr>
                <w:rFonts w:ascii="仿宋_GB2312" w:hAnsi="仿宋_GB2312" w:eastAsia="仿宋_GB2312"/>
                <w:b w:val="0"/>
                <w:sz w:val="18"/>
              </w:rPr>
              <w:t>□符合 □不符合</w:t>
            </w:r>
          </w:p>
        </w:tc>
        <w:tc>
          <w:tcPr>
            <w:tcW w:w="1769" w:type="dxa"/>
            <w:vAlign w:val="center"/>
          </w:tcPr>
          <w:p w14:paraId="30113EE3">
            <w:pPr>
              <w:spacing w:after="0" w:line="240" w:lineRule="auto"/>
            </w:pPr>
          </w:p>
        </w:tc>
      </w:tr>
      <w:tr w14:paraId="4C24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E4AE093">
            <w:pPr>
              <w:spacing w:after="0" w:line="240" w:lineRule="auto"/>
              <w:jc w:val="center"/>
            </w:pPr>
            <w:r>
              <w:rPr>
                <w:rFonts w:ascii="仿宋_GB2312" w:hAnsi="仿宋_GB2312" w:eastAsia="仿宋_GB2312"/>
                <w:b w:val="0"/>
                <w:sz w:val="18"/>
              </w:rPr>
              <w:t>6</w:t>
            </w:r>
          </w:p>
        </w:tc>
        <w:tc>
          <w:tcPr>
            <w:tcW w:w="10348" w:type="dxa"/>
            <w:vAlign w:val="center"/>
          </w:tcPr>
          <w:p w14:paraId="4D96183E">
            <w:pPr>
              <w:spacing w:after="0" w:line="240" w:lineRule="auto"/>
            </w:pPr>
            <w:r>
              <w:rPr>
                <w:rFonts w:ascii="仿宋_GB2312" w:hAnsi="仿宋_GB2312" w:eastAsia="仿宋_GB2312"/>
                <w:b w:val="0"/>
                <w:sz w:val="18"/>
              </w:rPr>
              <w:t>车库坡道与室外地面交接处上部应设置防洪挡板安装的位置。</w:t>
            </w:r>
          </w:p>
        </w:tc>
        <w:tc>
          <w:tcPr>
            <w:tcW w:w="1603" w:type="dxa"/>
            <w:vAlign w:val="center"/>
          </w:tcPr>
          <w:p w14:paraId="4203B47A">
            <w:pPr>
              <w:spacing w:after="0" w:line="240" w:lineRule="auto"/>
              <w:jc w:val="center"/>
            </w:pPr>
            <w:r>
              <w:rPr>
                <w:rFonts w:ascii="仿宋_GB2312" w:hAnsi="仿宋_GB2312" w:eastAsia="仿宋_GB2312"/>
                <w:b w:val="0"/>
                <w:sz w:val="18"/>
              </w:rPr>
              <w:t>□符合 □不符合</w:t>
            </w:r>
          </w:p>
        </w:tc>
        <w:tc>
          <w:tcPr>
            <w:tcW w:w="1769" w:type="dxa"/>
            <w:vAlign w:val="center"/>
          </w:tcPr>
          <w:p w14:paraId="0FC9799E">
            <w:pPr>
              <w:spacing w:after="0" w:line="240" w:lineRule="auto"/>
            </w:pPr>
          </w:p>
        </w:tc>
      </w:tr>
      <w:tr w14:paraId="70671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3C76924">
            <w:pPr>
              <w:spacing w:after="0" w:line="240" w:lineRule="auto"/>
              <w:jc w:val="center"/>
            </w:pPr>
            <w:r>
              <w:rPr>
                <w:rFonts w:ascii="仿宋_GB2312" w:hAnsi="仿宋_GB2312" w:eastAsia="仿宋_GB2312"/>
                <w:b w:val="0"/>
                <w:sz w:val="18"/>
              </w:rPr>
              <w:t>7</w:t>
            </w:r>
          </w:p>
        </w:tc>
        <w:tc>
          <w:tcPr>
            <w:tcW w:w="10348" w:type="dxa"/>
            <w:vAlign w:val="center"/>
          </w:tcPr>
          <w:p w14:paraId="1EB8EA1C">
            <w:pPr>
              <w:spacing w:after="0" w:line="240" w:lineRule="auto"/>
            </w:pPr>
            <w:r>
              <w:rPr>
                <w:rFonts w:ascii="仿宋_GB2312" w:hAnsi="仿宋_GB2312" w:eastAsia="仿宋_GB2312"/>
                <w:b w:val="0"/>
                <w:sz w:val="18"/>
              </w:rPr>
              <w:t>住宅防水防潮性能应符合下列规定：①开敞式阳台和露台等出入口处采取低于室内0.02m、抬高门槛、门口做坡度等防止室外雨水侵入室内的措施；②开敞阳台应采取防水措施，防水层在门口处向外延展长度≥0.6m，向两侧延展的宽度≥0.3m，阳台坡向落水口的坡度≥1%，落水口周边应留槽嵌填密封材料；③开敞阳台应采取有组织排水，阳台外侧应设置高度≥0.2m的反坎；④放置洗衣机的阳台应采取防水措施，楼面、墙面均做防水，洗衣机侧墙防水高度≥1.0m，地面坡向地漏≥1%，地漏四周留槽嵌填密封材料；⑤门窗框与外墙间连接处应采取有效的密封和防水措施，外门窗水密性能不应低于现行国家标准《建筑幕墙、门窗通用技术条件》GB/T 31433规定的3级；⑥卫生间和厨房的楼地面应设置防水层，防水层在门口处应水平延展，且向外延展的长度≥0.60m，向两侧延展的宽度≥0.30m，防水层的设置应符合国家标准《建筑与市政工程防水通用规范》GB 55030的有关规定；⑦卫生间墙面防水层应满刷，顶棚设置防潮层。</w:t>
            </w:r>
          </w:p>
        </w:tc>
        <w:tc>
          <w:tcPr>
            <w:tcW w:w="1603" w:type="dxa"/>
            <w:vAlign w:val="center"/>
          </w:tcPr>
          <w:p w14:paraId="57174184">
            <w:pPr>
              <w:spacing w:after="0" w:line="240" w:lineRule="auto"/>
              <w:jc w:val="center"/>
            </w:pPr>
            <w:r>
              <w:rPr>
                <w:rFonts w:ascii="仿宋_GB2312" w:hAnsi="仿宋_GB2312" w:eastAsia="仿宋_GB2312"/>
                <w:b w:val="0"/>
                <w:sz w:val="18"/>
              </w:rPr>
              <w:t>□符合 □不符合</w:t>
            </w:r>
          </w:p>
        </w:tc>
        <w:tc>
          <w:tcPr>
            <w:tcW w:w="1769" w:type="dxa"/>
            <w:vAlign w:val="center"/>
          </w:tcPr>
          <w:p w14:paraId="20045148">
            <w:pPr>
              <w:spacing w:after="0" w:line="240" w:lineRule="auto"/>
            </w:pPr>
          </w:p>
        </w:tc>
      </w:tr>
      <w:tr w14:paraId="269B5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486A7C5">
            <w:pPr>
              <w:spacing w:after="0" w:line="240" w:lineRule="auto"/>
              <w:jc w:val="center"/>
            </w:pPr>
            <w:r>
              <w:rPr>
                <w:rFonts w:ascii="仿宋_GB2312" w:hAnsi="仿宋_GB2312" w:eastAsia="仿宋_GB2312"/>
                <w:b w:val="0"/>
                <w:sz w:val="18"/>
              </w:rPr>
              <w:t>8</w:t>
            </w:r>
          </w:p>
        </w:tc>
        <w:tc>
          <w:tcPr>
            <w:tcW w:w="10348" w:type="dxa"/>
            <w:vAlign w:val="center"/>
          </w:tcPr>
          <w:p w14:paraId="5D79A432">
            <w:pPr>
              <w:spacing w:after="0" w:line="240" w:lineRule="auto"/>
            </w:pPr>
            <w:r>
              <w:rPr>
                <w:rFonts w:ascii="仿宋_GB2312" w:hAnsi="仿宋_GB2312" w:eastAsia="仿宋_GB2312"/>
                <w:b w:val="0"/>
                <w:sz w:val="18"/>
              </w:rPr>
              <w:t>走廊、疏散通道等通行空间的墙面1.80m以下不应有影响通行及疏散的突出物，公共走廊墙面主要公共空间内应具有安全防护的警示和引导标识系统。</w:t>
            </w:r>
          </w:p>
        </w:tc>
        <w:tc>
          <w:tcPr>
            <w:tcW w:w="1603" w:type="dxa"/>
            <w:vAlign w:val="center"/>
          </w:tcPr>
          <w:p w14:paraId="22A12DC5">
            <w:pPr>
              <w:spacing w:after="0" w:line="240" w:lineRule="auto"/>
              <w:jc w:val="center"/>
            </w:pPr>
            <w:r>
              <w:rPr>
                <w:rFonts w:ascii="仿宋_GB2312" w:hAnsi="仿宋_GB2312" w:eastAsia="仿宋_GB2312"/>
                <w:b w:val="0"/>
                <w:sz w:val="18"/>
              </w:rPr>
              <w:t>□符合 □不符合</w:t>
            </w:r>
          </w:p>
        </w:tc>
        <w:tc>
          <w:tcPr>
            <w:tcW w:w="1769" w:type="dxa"/>
            <w:vAlign w:val="center"/>
          </w:tcPr>
          <w:p w14:paraId="73D3A499">
            <w:pPr>
              <w:spacing w:after="0" w:line="240" w:lineRule="auto"/>
            </w:pPr>
          </w:p>
        </w:tc>
      </w:tr>
      <w:tr w14:paraId="031E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667C25A">
            <w:pPr>
              <w:spacing w:after="0" w:line="240" w:lineRule="auto"/>
              <w:jc w:val="center"/>
            </w:pPr>
            <w:r>
              <w:rPr>
                <w:rFonts w:ascii="仿宋_GB2312" w:hAnsi="仿宋_GB2312" w:eastAsia="仿宋_GB2312"/>
                <w:b w:val="0"/>
                <w:sz w:val="18"/>
              </w:rPr>
              <w:t>9</w:t>
            </w:r>
          </w:p>
        </w:tc>
        <w:tc>
          <w:tcPr>
            <w:tcW w:w="10348" w:type="dxa"/>
            <w:vAlign w:val="center"/>
          </w:tcPr>
          <w:p w14:paraId="248629F0">
            <w:pPr>
              <w:spacing w:after="0" w:line="240" w:lineRule="auto"/>
            </w:pPr>
            <w:r>
              <w:rPr>
                <w:rFonts w:ascii="仿宋_GB2312" w:hAnsi="仿宋_GB2312" w:eastAsia="仿宋_GB2312"/>
                <w:b w:val="0"/>
                <w:sz w:val="18"/>
              </w:rPr>
              <w:t>应采取防止人员坠落的措施，并应符合下列规定：①外廊、内天井、室内回廊、室外楼梯等临空处应设防护栏杆，栏杆净高≥1.20m，防护栏杆必须采用防止攀登和物品坠落的构造，栏杆的垂直杆件间净距≤0.11m，当防护栏杆上设计花池时必须采取防止物品坠落的措施；②封闭阳台外窗下部采用实体墙时，窗台距室内地面的净高≥0.90m；开敞阳台或采用落地窗的封闭阳台，高层住宅的防护栏杆高度≥1.30m，竖向杆件间距≤0.09m，且应采取防止攀爬的措施；③开敞阳台临空处放置花盆等物品时，应设置专用容器并与主体可靠连接，防止坠落；④窗井、风井等有坠入风险的位置应设置防坠网；⑤室外检修井井筒直径0.50m及以上应设置双层井盖，井筒直径0.50m以下应设置防坠网。</w:t>
            </w:r>
          </w:p>
        </w:tc>
        <w:tc>
          <w:tcPr>
            <w:tcW w:w="1603" w:type="dxa"/>
            <w:vAlign w:val="center"/>
          </w:tcPr>
          <w:p w14:paraId="00DA351C">
            <w:pPr>
              <w:spacing w:after="0" w:line="240" w:lineRule="auto"/>
              <w:jc w:val="center"/>
            </w:pPr>
            <w:r>
              <w:rPr>
                <w:rFonts w:ascii="仿宋_GB2312" w:hAnsi="仿宋_GB2312" w:eastAsia="仿宋_GB2312"/>
                <w:b w:val="0"/>
                <w:sz w:val="18"/>
              </w:rPr>
              <w:t>□符合 □不符合</w:t>
            </w:r>
          </w:p>
        </w:tc>
        <w:tc>
          <w:tcPr>
            <w:tcW w:w="1769" w:type="dxa"/>
            <w:vAlign w:val="center"/>
          </w:tcPr>
          <w:p w14:paraId="27BE5670">
            <w:pPr>
              <w:spacing w:after="0" w:line="240" w:lineRule="auto"/>
            </w:pPr>
          </w:p>
        </w:tc>
      </w:tr>
      <w:tr w14:paraId="36DE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C355561">
            <w:pPr>
              <w:spacing w:after="0" w:line="240" w:lineRule="auto"/>
              <w:jc w:val="center"/>
            </w:pPr>
            <w:r>
              <w:rPr>
                <w:rFonts w:ascii="仿宋_GB2312" w:hAnsi="仿宋_GB2312" w:eastAsia="仿宋_GB2312"/>
                <w:b w:val="0"/>
                <w:sz w:val="18"/>
              </w:rPr>
              <w:t>10</w:t>
            </w:r>
          </w:p>
        </w:tc>
        <w:tc>
          <w:tcPr>
            <w:tcW w:w="10348" w:type="dxa"/>
            <w:vAlign w:val="center"/>
          </w:tcPr>
          <w:p w14:paraId="4F8D1328">
            <w:pPr>
              <w:spacing w:after="0" w:line="240" w:lineRule="auto"/>
            </w:pPr>
            <w:r>
              <w:rPr>
                <w:rFonts w:ascii="仿宋_GB2312" w:hAnsi="仿宋_GB2312" w:eastAsia="仿宋_GB2312"/>
                <w:b w:val="0"/>
                <w:sz w:val="18"/>
              </w:rPr>
              <w:t>应针对高空坠物采取防护措施，并应符合下列规定：①建筑出入口设置雨棚，宽度覆盖入口平台，挑出长度超出门扇开启时最远点≥1.00m；②设置视频监控设施实时监测高空抛物；③建筑周边宜利用景观或场地设置防坠落的缓冲区隔离带，宽度≥3.00m。</w:t>
            </w:r>
          </w:p>
        </w:tc>
        <w:tc>
          <w:tcPr>
            <w:tcW w:w="1603" w:type="dxa"/>
            <w:vAlign w:val="center"/>
          </w:tcPr>
          <w:p w14:paraId="3C4D50C1">
            <w:pPr>
              <w:spacing w:after="0" w:line="240" w:lineRule="auto"/>
              <w:jc w:val="center"/>
            </w:pPr>
            <w:r>
              <w:rPr>
                <w:rFonts w:ascii="仿宋_GB2312" w:hAnsi="仿宋_GB2312" w:eastAsia="仿宋_GB2312"/>
                <w:b w:val="0"/>
                <w:sz w:val="18"/>
              </w:rPr>
              <w:t>□符合 □不符合</w:t>
            </w:r>
          </w:p>
        </w:tc>
        <w:tc>
          <w:tcPr>
            <w:tcW w:w="1769" w:type="dxa"/>
            <w:vAlign w:val="center"/>
          </w:tcPr>
          <w:p w14:paraId="093877F1">
            <w:pPr>
              <w:spacing w:after="0" w:line="240" w:lineRule="auto"/>
            </w:pPr>
          </w:p>
        </w:tc>
      </w:tr>
      <w:tr w14:paraId="17CE4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C68597F">
            <w:pPr>
              <w:spacing w:after="0" w:line="240" w:lineRule="auto"/>
              <w:jc w:val="center"/>
            </w:pPr>
            <w:r>
              <w:rPr>
                <w:rFonts w:ascii="仿宋_GB2312" w:hAnsi="仿宋_GB2312" w:eastAsia="仿宋_GB2312"/>
                <w:b w:val="0"/>
                <w:sz w:val="18"/>
              </w:rPr>
              <w:t>11</w:t>
            </w:r>
          </w:p>
        </w:tc>
        <w:tc>
          <w:tcPr>
            <w:tcW w:w="10348" w:type="dxa"/>
            <w:vAlign w:val="center"/>
          </w:tcPr>
          <w:p w14:paraId="0F61A3CE">
            <w:pPr>
              <w:spacing w:after="0" w:line="240" w:lineRule="auto"/>
            </w:pPr>
            <w:r>
              <w:rPr>
                <w:rFonts w:ascii="仿宋_GB2312" w:hAnsi="仿宋_GB2312" w:eastAsia="仿宋_GB2312"/>
                <w:b w:val="0"/>
                <w:sz w:val="18"/>
              </w:rPr>
              <w:t>结构设计应符合下列规定：①现浇钢筋混凝土楼板的厚度不应小于100mm，且单向板厚度不应小于跨度的1/30，双向板厚度不应小于短跨的1/35；②地下室外墙厚度≥300mm，处于高水位波动区或侵蚀性介质环境时，应增加钢筋保护层厚度，裂缝宽度限值宜采用0.15mm；③屋面应采用抗渗混凝土，混凝土抗渗等级≥P6，应采用双层双向配筋；④卧室、起居室（厅）的均布活荷载取值，应根据建筑可变性计入二次装修、新建隔墙等产生的荷载。</w:t>
            </w:r>
          </w:p>
        </w:tc>
        <w:tc>
          <w:tcPr>
            <w:tcW w:w="1603" w:type="dxa"/>
            <w:vAlign w:val="center"/>
          </w:tcPr>
          <w:p w14:paraId="104D3E5F">
            <w:pPr>
              <w:spacing w:after="0" w:line="240" w:lineRule="auto"/>
              <w:jc w:val="center"/>
            </w:pPr>
            <w:r>
              <w:rPr>
                <w:rFonts w:ascii="仿宋_GB2312" w:hAnsi="仿宋_GB2312" w:eastAsia="仿宋_GB2312"/>
                <w:b w:val="0"/>
                <w:sz w:val="18"/>
              </w:rPr>
              <w:t>□符合 □不符合</w:t>
            </w:r>
          </w:p>
        </w:tc>
        <w:tc>
          <w:tcPr>
            <w:tcW w:w="1769" w:type="dxa"/>
            <w:vAlign w:val="center"/>
          </w:tcPr>
          <w:p w14:paraId="3012265A">
            <w:pPr>
              <w:spacing w:after="0" w:line="240" w:lineRule="auto"/>
            </w:pPr>
          </w:p>
        </w:tc>
      </w:tr>
      <w:tr w14:paraId="04D1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827A518">
            <w:pPr>
              <w:spacing w:after="0" w:line="240" w:lineRule="auto"/>
              <w:jc w:val="center"/>
            </w:pPr>
            <w:r>
              <w:rPr>
                <w:rFonts w:ascii="仿宋_GB2312" w:hAnsi="仿宋_GB2312" w:eastAsia="仿宋_GB2312"/>
                <w:b w:val="0"/>
                <w:sz w:val="18"/>
              </w:rPr>
              <w:t>12</w:t>
            </w:r>
          </w:p>
        </w:tc>
        <w:tc>
          <w:tcPr>
            <w:tcW w:w="10348" w:type="dxa"/>
            <w:vAlign w:val="center"/>
          </w:tcPr>
          <w:p w14:paraId="5F1F078A">
            <w:pPr>
              <w:spacing w:after="0" w:line="240" w:lineRule="auto"/>
            </w:pPr>
            <w:r>
              <w:rPr>
                <w:rFonts w:ascii="仿宋_GB2312" w:hAnsi="仿宋_GB2312" w:eastAsia="仿宋_GB2312"/>
                <w:b w:val="0"/>
                <w:sz w:val="18"/>
              </w:rPr>
              <w:t>立面窗台处装饰线脚顶部应为钢筋混凝土板。</w:t>
            </w:r>
          </w:p>
        </w:tc>
        <w:tc>
          <w:tcPr>
            <w:tcW w:w="1603" w:type="dxa"/>
            <w:vAlign w:val="center"/>
          </w:tcPr>
          <w:p w14:paraId="0488D6AB">
            <w:pPr>
              <w:spacing w:after="0" w:line="240" w:lineRule="auto"/>
              <w:jc w:val="center"/>
            </w:pPr>
            <w:r>
              <w:rPr>
                <w:rFonts w:ascii="仿宋_GB2312" w:hAnsi="仿宋_GB2312" w:eastAsia="仿宋_GB2312"/>
                <w:b w:val="0"/>
                <w:sz w:val="18"/>
              </w:rPr>
              <w:t>□符合 □不符合</w:t>
            </w:r>
          </w:p>
        </w:tc>
        <w:tc>
          <w:tcPr>
            <w:tcW w:w="1769" w:type="dxa"/>
            <w:vAlign w:val="center"/>
          </w:tcPr>
          <w:p w14:paraId="492262E6">
            <w:pPr>
              <w:spacing w:after="0" w:line="240" w:lineRule="auto"/>
            </w:pPr>
          </w:p>
        </w:tc>
      </w:tr>
      <w:tr w14:paraId="59190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13C314F">
            <w:pPr>
              <w:spacing w:after="0" w:line="240" w:lineRule="auto"/>
              <w:jc w:val="center"/>
            </w:pPr>
            <w:r>
              <w:rPr>
                <w:rFonts w:ascii="仿宋_GB2312" w:hAnsi="仿宋_GB2312" w:eastAsia="仿宋_GB2312"/>
                <w:b w:val="0"/>
                <w:sz w:val="18"/>
              </w:rPr>
              <w:t>13</w:t>
            </w:r>
          </w:p>
        </w:tc>
        <w:tc>
          <w:tcPr>
            <w:tcW w:w="10348" w:type="dxa"/>
            <w:vAlign w:val="center"/>
          </w:tcPr>
          <w:p w14:paraId="625F6E97">
            <w:pPr>
              <w:spacing w:after="0" w:line="240" w:lineRule="auto"/>
            </w:pPr>
            <w:r>
              <w:rPr>
                <w:rFonts w:ascii="仿宋_GB2312" w:hAnsi="仿宋_GB2312" w:eastAsia="仿宋_GB2312"/>
                <w:b w:val="0"/>
                <w:sz w:val="18"/>
              </w:rPr>
              <w:t>太阳能设施、空调室外机位、外遮阳、外墙挑台等外部设施应与建筑主体结构统一设计、施工，并应具备安装、检修与维护条件。</w:t>
            </w:r>
          </w:p>
        </w:tc>
        <w:tc>
          <w:tcPr>
            <w:tcW w:w="1603" w:type="dxa"/>
            <w:vAlign w:val="center"/>
          </w:tcPr>
          <w:p w14:paraId="113A61FB">
            <w:pPr>
              <w:spacing w:after="0" w:line="240" w:lineRule="auto"/>
              <w:jc w:val="center"/>
            </w:pPr>
            <w:r>
              <w:rPr>
                <w:rFonts w:ascii="仿宋_GB2312" w:hAnsi="仿宋_GB2312" w:eastAsia="仿宋_GB2312"/>
                <w:b w:val="0"/>
                <w:sz w:val="18"/>
              </w:rPr>
              <w:t>□符合 □不符合</w:t>
            </w:r>
          </w:p>
        </w:tc>
        <w:tc>
          <w:tcPr>
            <w:tcW w:w="1769" w:type="dxa"/>
            <w:vAlign w:val="center"/>
          </w:tcPr>
          <w:p w14:paraId="31F69BFB">
            <w:pPr>
              <w:spacing w:after="0" w:line="240" w:lineRule="auto"/>
            </w:pPr>
          </w:p>
        </w:tc>
      </w:tr>
      <w:tr w14:paraId="21BC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757F7B9">
            <w:pPr>
              <w:spacing w:after="0" w:line="240" w:lineRule="auto"/>
              <w:jc w:val="center"/>
            </w:pPr>
            <w:r>
              <w:rPr>
                <w:rFonts w:ascii="仿宋_GB2312" w:hAnsi="仿宋_GB2312" w:eastAsia="仿宋_GB2312"/>
                <w:b w:val="0"/>
                <w:sz w:val="18"/>
              </w:rPr>
              <w:t>14</w:t>
            </w:r>
          </w:p>
        </w:tc>
        <w:tc>
          <w:tcPr>
            <w:tcW w:w="10348" w:type="dxa"/>
            <w:vAlign w:val="center"/>
          </w:tcPr>
          <w:p w14:paraId="230287A1">
            <w:pPr>
              <w:spacing w:after="0" w:line="240" w:lineRule="auto"/>
            </w:pPr>
            <w:r>
              <w:rPr>
                <w:rFonts w:ascii="仿宋_GB2312" w:hAnsi="仿宋_GB2312" w:eastAsia="仿宋_GB2312"/>
                <w:b w:val="0"/>
                <w:sz w:val="18"/>
              </w:rPr>
              <w:t>户门空间应符合下列规定：①户门开启不影响公共部位的疏散，不影响相邻户门的开启；②不影响人员出入电梯及使用呼叫按钮，不碰撞消火栓箱，不应影响通风竖井的百叶风口；③相邻户门并列布置时，门扇间最小净距离≥400mm；相邻户门为L型布置时，门扇开启过程中最小净距离≥600mm；户门两侧最小净距离≥150mm，户门外应设挂钩。</w:t>
            </w:r>
          </w:p>
        </w:tc>
        <w:tc>
          <w:tcPr>
            <w:tcW w:w="1603" w:type="dxa"/>
            <w:vAlign w:val="center"/>
          </w:tcPr>
          <w:p w14:paraId="39884075">
            <w:pPr>
              <w:spacing w:after="0" w:line="240" w:lineRule="auto"/>
              <w:jc w:val="center"/>
            </w:pPr>
            <w:r>
              <w:rPr>
                <w:rFonts w:ascii="仿宋_GB2312" w:hAnsi="仿宋_GB2312" w:eastAsia="仿宋_GB2312"/>
                <w:b w:val="0"/>
                <w:sz w:val="18"/>
              </w:rPr>
              <w:t>□符合 □不符合</w:t>
            </w:r>
          </w:p>
        </w:tc>
        <w:tc>
          <w:tcPr>
            <w:tcW w:w="1769" w:type="dxa"/>
            <w:vAlign w:val="center"/>
          </w:tcPr>
          <w:p w14:paraId="6E995E44">
            <w:pPr>
              <w:spacing w:after="0" w:line="240" w:lineRule="auto"/>
            </w:pPr>
          </w:p>
        </w:tc>
      </w:tr>
      <w:tr w14:paraId="2665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018E704">
            <w:pPr>
              <w:spacing w:after="0" w:line="240" w:lineRule="auto"/>
              <w:jc w:val="center"/>
            </w:pPr>
            <w:r>
              <w:rPr>
                <w:rFonts w:ascii="仿宋_GB2312" w:hAnsi="仿宋_GB2312" w:eastAsia="仿宋_GB2312"/>
                <w:b w:val="0"/>
                <w:sz w:val="18"/>
              </w:rPr>
              <w:t>15</w:t>
            </w:r>
          </w:p>
        </w:tc>
        <w:tc>
          <w:tcPr>
            <w:tcW w:w="10348" w:type="dxa"/>
            <w:vAlign w:val="center"/>
          </w:tcPr>
          <w:p w14:paraId="7BFEC782">
            <w:pPr>
              <w:spacing w:after="0" w:line="240" w:lineRule="auto"/>
            </w:pPr>
            <w:r>
              <w:rPr>
                <w:rFonts w:ascii="仿宋_GB2312" w:hAnsi="仿宋_GB2312" w:eastAsia="仿宋_GB2312"/>
                <w:b w:val="0"/>
                <w:sz w:val="18"/>
              </w:rPr>
              <w:t>生活给水排水系统应保证卫生安全，生活给水池（箱）处应采用紫外线消毒、二氧化氯消毒剂发生器、次氯酸钠发生器等保证水质的措施。</w:t>
            </w:r>
          </w:p>
        </w:tc>
        <w:tc>
          <w:tcPr>
            <w:tcW w:w="1603" w:type="dxa"/>
            <w:vAlign w:val="center"/>
          </w:tcPr>
          <w:p w14:paraId="00254A91">
            <w:pPr>
              <w:spacing w:after="0" w:line="240" w:lineRule="auto"/>
              <w:jc w:val="center"/>
            </w:pPr>
            <w:r>
              <w:rPr>
                <w:rFonts w:ascii="仿宋_GB2312" w:hAnsi="仿宋_GB2312" w:eastAsia="仿宋_GB2312"/>
                <w:b w:val="0"/>
                <w:sz w:val="18"/>
              </w:rPr>
              <w:t>□符合 □不符合</w:t>
            </w:r>
          </w:p>
        </w:tc>
        <w:tc>
          <w:tcPr>
            <w:tcW w:w="1769" w:type="dxa"/>
            <w:vAlign w:val="center"/>
          </w:tcPr>
          <w:p w14:paraId="545F2BDB">
            <w:pPr>
              <w:spacing w:after="0" w:line="240" w:lineRule="auto"/>
            </w:pPr>
          </w:p>
        </w:tc>
      </w:tr>
      <w:tr w14:paraId="0E99D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577B814">
            <w:pPr>
              <w:spacing w:after="0" w:line="240" w:lineRule="auto"/>
              <w:jc w:val="center"/>
            </w:pPr>
            <w:r>
              <w:rPr>
                <w:rFonts w:ascii="仿宋_GB2312" w:hAnsi="仿宋_GB2312" w:eastAsia="仿宋_GB2312"/>
                <w:b w:val="0"/>
                <w:sz w:val="18"/>
              </w:rPr>
              <w:t>16</w:t>
            </w:r>
          </w:p>
        </w:tc>
        <w:tc>
          <w:tcPr>
            <w:tcW w:w="10348" w:type="dxa"/>
            <w:vAlign w:val="center"/>
          </w:tcPr>
          <w:p w14:paraId="48D5AA55">
            <w:pPr>
              <w:spacing w:after="0" w:line="240" w:lineRule="auto"/>
            </w:pPr>
            <w:r>
              <w:rPr>
                <w:rFonts w:ascii="仿宋_GB2312" w:hAnsi="仿宋_GB2312" w:eastAsia="仿宋_GB2312"/>
                <w:b w:val="0"/>
                <w:sz w:val="18"/>
              </w:rPr>
              <w:t>燃气引入管阀门的设置不得对套内造成影响，并设有明显标识。</w:t>
            </w:r>
          </w:p>
        </w:tc>
        <w:tc>
          <w:tcPr>
            <w:tcW w:w="1603" w:type="dxa"/>
            <w:vAlign w:val="center"/>
          </w:tcPr>
          <w:p w14:paraId="0BBDE325">
            <w:pPr>
              <w:spacing w:after="0" w:line="240" w:lineRule="auto"/>
              <w:jc w:val="center"/>
            </w:pPr>
            <w:r>
              <w:rPr>
                <w:rFonts w:ascii="仿宋_GB2312" w:hAnsi="仿宋_GB2312" w:eastAsia="仿宋_GB2312"/>
                <w:b w:val="0"/>
                <w:sz w:val="18"/>
              </w:rPr>
              <w:t>□符合 □不符合</w:t>
            </w:r>
          </w:p>
        </w:tc>
        <w:tc>
          <w:tcPr>
            <w:tcW w:w="1769" w:type="dxa"/>
            <w:vAlign w:val="center"/>
          </w:tcPr>
          <w:p w14:paraId="5361C0A9">
            <w:pPr>
              <w:spacing w:after="0" w:line="240" w:lineRule="auto"/>
            </w:pPr>
          </w:p>
        </w:tc>
      </w:tr>
      <w:tr w14:paraId="7632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910ADCC">
            <w:pPr>
              <w:spacing w:after="0" w:line="240" w:lineRule="auto"/>
              <w:jc w:val="center"/>
            </w:pPr>
            <w:r>
              <w:rPr>
                <w:rFonts w:ascii="仿宋_GB2312" w:hAnsi="仿宋_GB2312" w:eastAsia="仿宋_GB2312"/>
                <w:b w:val="0"/>
                <w:sz w:val="18"/>
              </w:rPr>
              <w:t>17</w:t>
            </w:r>
          </w:p>
        </w:tc>
        <w:tc>
          <w:tcPr>
            <w:tcW w:w="10348" w:type="dxa"/>
            <w:vAlign w:val="center"/>
          </w:tcPr>
          <w:p w14:paraId="266DEBB3">
            <w:pPr>
              <w:spacing w:after="0" w:line="240" w:lineRule="auto"/>
            </w:pPr>
            <w:r>
              <w:rPr>
                <w:rFonts w:ascii="仿宋_GB2312" w:hAnsi="仿宋_GB2312" w:eastAsia="仿宋_GB2312"/>
                <w:b w:val="0"/>
                <w:sz w:val="18"/>
              </w:rPr>
              <w:t>燃气灶不应与燃气热水器、燃气采暖热水炉共用排烟与排气装置。</w:t>
            </w:r>
          </w:p>
        </w:tc>
        <w:tc>
          <w:tcPr>
            <w:tcW w:w="1603" w:type="dxa"/>
            <w:vAlign w:val="center"/>
          </w:tcPr>
          <w:p w14:paraId="7560927D">
            <w:pPr>
              <w:spacing w:after="0" w:line="240" w:lineRule="auto"/>
              <w:jc w:val="center"/>
            </w:pPr>
            <w:r>
              <w:rPr>
                <w:rFonts w:ascii="仿宋_GB2312" w:hAnsi="仿宋_GB2312" w:eastAsia="仿宋_GB2312"/>
                <w:b w:val="0"/>
                <w:sz w:val="18"/>
              </w:rPr>
              <w:t>□符合 □不符合</w:t>
            </w:r>
          </w:p>
        </w:tc>
        <w:tc>
          <w:tcPr>
            <w:tcW w:w="1769" w:type="dxa"/>
            <w:vAlign w:val="center"/>
          </w:tcPr>
          <w:p w14:paraId="1E68BA15">
            <w:pPr>
              <w:spacing w:after="0" w:line="240" w:lineRule="auto"/>
            </w:pPr>
          </w:p>
        </w:tc>
      </w:tr>
      <w:tr w14:paraId="4D50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7B14BCF">
            <w:pPr>
              <w:spacing w:after="0" w:line="240" w:lineRule="auto"/>
              <w:jc w:val="center"/>
            </w:pPr>
            <w:r>
              <w:rPr>
                <w:rFonts w:ascii="仿宋_GB2312" w:hAnsi="仿宋_GB2312" w:eastAsia="仿宋_GB2312"/>
                <w:b w:val="0"/>
                <w:sz w:val="18"/>
              </w:rPr>
              <w:t>18</w:t>
            </w:r>
          </w:p>
        </w:tc>
        <w:tc>
          <w:tcPr>
            <w:tcW w:w="10348" w:type="dxa"/>
            <w:vAlign w:val="center"/>
          </w:tcPr>
          <w:p w14:paraId="5F9BF787">
            <w:pPr>
              <w:spacing w:after="0" w:line="240" w:lineRule="auto"/>
            </w:pPr>
            <w:r>
              <w:rPr>
                <w:rFonts w:ascii="仿宋_GB2312" w:hAnsi="仿宋_GB2312" w:eastAsia="仿宋_GB2312"/>
                <w:b w:val="0"/>
                <w:sz w:val="18"/>
              </w:rPr>
              <w:t>车库地坪应采用具有防尘、防滑，耐磨损、易清理、耐腐蚀的材料，并符合《建筑内部装修设计防火规范》GB 50222的相关规定。</w:t>
            </w:r>
          </w:p>
        </w:tc>
        <w:tc>
          <w:tcPr>
            <w:tcW w:w="1603" w:type="dxa"/>
            <w:vAlign w:val="center"/>
          </w:tcPr>
          <w:p w14:paraId="25F349A3">
            <w:pPr>
              <w:spacing w:after="0" w:line="240" w:lineRule="auto"/>
              <w:jc w:val="center"/>
            </w:pPr>
            <w:r>
              <w:rPr>
                <w:rFonts w:ascii="仿宋_GB2312" w:hAnsi="仿宋_GB2312" w:eastAsia="仿宋_GB2312"/>
                <w:b w:val="0"/>
                <w:sz w:val="18"/>
              </w:rPr>
              <w:t>□符合 □不符合</w:t>
            </w:r>
          </w:p>
        </w:tc>
        <w:tc>
          <w:tcPr>
            <w:tcW w:w="1769" w:type="dxa"/>
            <w:vAlign w:val="center"/>
          </w:tcPr>
          <w:p w14:paraId="4E121BE8">
            <w:pPr>
              <w:spacing w:after="0" w:line="240" w:lineRule="auto"/>
            </w:pPr>
          </w:p>
        </w:tc>
      </w:tr>
      <w:tr w14:paraId="4C899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7ADE534">
            <w:pPr>
              <w:spacing w:after="0" w:line="240" w:lineRule="auto"/>
              <w:jc w:val="center"/>
            </w:pPr>
            <w:r>
              <w:rPr>
                <w:rFonts w:ascii="仿宋_GB2312" w:hAnsi="仿宋_GB2312" w:eastAsia="仿宋_GB2312"/>
                <w:b w:val="0"/>
                <w:sz w:val="18"/>
              </w:rPr>
              <w:t>19</w:t>
            </w:r>
          </w:p>
        </w:tc>
        <w:tc>
          <w:tcPr>
            <w:tcW w:w="10348" w:type="dxa"/>
            <w:vAlign w:val="center"/>
          </w:tcPr>
          <w:p w14:paraId="5968C258">
            <w:pPr>
              <w:spacing w:after="0" w:line="240" w:lineRule="auto"/>
            </w:pPr>
            <w:r>
              <w:rPr>
                <w:rFonts w:ascii="仿宋_GB2312" w:hAnsi="仿宋_GB2312" w:eastAsia="仿宋_GB2312"/>
                <w:b w:val="0"/>
                <w:sz w:val="18"/>
              </w:rPr>
              <w:t>供水管材选型应符合下列规定：①生活给水及生活热水横干管、立管应采用不锈钢管、铜管、塑料管、金属塑料复合管等耐腐蚀、耐久性好、抗菌性强的管材；②敷设在套内垫层内的生活给水及生活热水管应采用氯化聚氯乙烯（PVC-C）管、聚丁烯（PB）管等耐腐蚀、耐久性好、抗菌性强的管材；③直饮水管采用不锈钢管、铜管等耐腐蚀、耐久性好、抗菌性强的管材。</w:t>
            </w:r>
          </w:p>
        </w:tc>
        <w:tc>
          <w:tcPr>
            <w:tcW w:w="1603" w:type="dxa"/>
            <w:vAlign w:val="center"/>
          </w:tcPr>
          <w:p w14:paraId="2D2C22EE">
            <w:pPr>
              <w:spacing w:after="0" w:line="240" w:lineRule="auto"/>
              <w:jc w:val="center"/>
            </w:pPr>
            <w:r>
              <w:rPr>
                <w:rFonts w:ascii="仿宋_GB2312" w:hAnsi="仿宋_GB2312" w:eastAsia="仿宋_GB2312"/>
                <w:b w:val="0"/>
                <w:sz w:val="18"/>
              </w:rPr>
              <w:t>□符合 □不符合</w:t>
            </w:r>
          </w:p>
        </w:tc>
        <w:tc>
          <w:tcPr>
            <w:tcW w:w="1769" w:type="dxa"/>
            <w:vAlign w:val="center"/>
          </w:tcPr>
          <w:p w14:paraId="0D030470">
            <w:pPr>
              <w:spacing w:after="0" w:line="240" w:lineRule="auto"/>
            </w:pPr>
          </w:p>
        </w:tc>
      </w:tr>
      <w:tr w14:paraId="230E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6C9A2B5">
            <w:pPr>
              <w:spacing w:after="0" w:line="240" w:lineRule="auto"/>
              <w:jc w:val="center"/>
            </w:pPr>
            <w:r>
              <w:rPr>
                <w:rFonts w:ascii="仿宋_GB2312" w:hAnsi="仿宋_GB2312" w:eastAsia="仿宋_GB2312"/>
                <w:b w:val="0"/>
                <w:sz w:val="18"/>
              </w:rPr>
              <w:t>20</w:t>
            </w:r>
          </w:p>
        </w:tc>
        <w:tc>
          <w:tcPr>
            <w:tcW w:w="10348" w:type="dxa"/>
            <w:vAlign w:val="center"/>
          </w:tcPr>
          <w:p w14:paraId="4BFA1358">
            <w:pPr>
              <w:spacing w:after="0" w:line="240" w:lineRule="auto"/>
            </w:pPr>
            <w:r>
              <w:rPr>
                <w:rFonts w:ascii="仿宋_GB2312" w:hAnsi="仿宋_GB2312" w:eastAsia="仿宋_GB2312"/>
                <w:b w:val="0"/>
                <w:sz w:val="18"/>
              </w:rPr>
              <w:t>外墙涂料耐人工气候老化性能不低于现行行业标准《建筑外墙涂料通用技术要求》JG/T 512规定的Ⅲ级；内墙涂料的耐洗刷性不低于2000次，耐洗刷性的测定应符合现行国家标准《建筑涂料涂层耐洗刷性的测定》GB/T 9266的有关规定。</w:t>
            </w:r>
          </w:p>
        </w:tc>
        <w:tc>
          <w:tcPr>
            <w:tcW w:w="1603" w:type="dxa"/>
            <w:vAlign w:val="center"/>
          </w:tcPr>
          <w:p w14:paraId="2A794921">
            <w:pPr>
              <w:spacing w:after="0" w:line="240" w:lineRule="auto"/>
              <w:jc w:val="center"/>
            </w:pPr>
            <w:r>
              <w:rPr>
                <w:rFonts w:ascii="仿宋_GB2312" w:hAnsi="仿宋_GB2312" w:eastAsia="仿宋_GB2312"/>
                <w:b w:val="0"/>
                <w:sz w:val="18"/>
              </w:rPr>
              <w:t>□符合 □不符合</w:t>
            </w:r>
          </w:p>
        </w:tc>
        <w:tc>
          <w:tcPr>
            <w:tcW w:w="1769" w:type="dxa"/>
            <w:vAlign w:val="center"/>
          </w:tcPr>
          <w:p w14:paraId="0EA4AC73">
            <w:pPr>
              <w:spacing w:after="0" w:line="240" w:lineRule="auto"/>
            </w:pPr>
          </w:p>
        </w:tc>
      </w:tr>
      <w:tr w14:paraId="0558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F60BEB1">
            <w:pPr>
              <w:spacing w:after="0" w:line="240" w:lineRule="auto"/>
              <w:jc w:val="center"/>
            </w:pPr>
            <w:r>
              <w:rPr>
                <w:rFonts w:ascii="仿宋_GB2312" w:hAnsi="仿宋_GB2312" w:eastAsia="仿宋_GB2312"/>
                <w:b w:val="0"/>
                <w:sz w:val="18"/>
              </w:rPr>
              <w:t>21</w:t>
            </w:r>
          </w:p>
        </w:tc>
        <w:tc>
          <w:tcPr>
            <w:tcW w:w="10348" w:type="dxa"/>
            <w:vAlign w:val="center"/>
          </w:tcPr>
          <w:p w14:paraId="2CF389C4">
            <w:pPr>
              <w:spacing w:after="0" w:line="240" w:lineRule="auto"/>
            </w:pPr>
            <w:r>
              <w:rPr>
                <w:rFonts w:ascii="仿宋_GB2312" w:hAnsi="仿宋_GB2312" w:eastAsia="仿宋_GB2312"/>
                <w:b w:val="0"/>
                <w:sz w:val="18"/>
              </w:rPr>
              <w:t>应优先选用高性能、低能耗、环保型建筑材料，确保材料质量符合相关标准要求。</w:t>
            </w:r>
          </w:p>
        </w:tc>
        <w:tc>
          <w:tcPr>
            <w:tcW w:w="1603" w:type="dxa"/>
            <w:vAlign w:val="center"/>
          </w:tcPr>
          <w:p w14:paraId="1744F766">
            <w:pPr>
              <w:spacing w:after="0" w:line="240" w:lineRule="auto"/>
              <w:jc w:val="center"/>
            </w:pPr>
            <w:r>
              <w:rPr>
                <w:rFonts w:ascii="仿宋_GB2312" w:hAnsi="仿宋_GB2312" w:eastAsia="仿宋_GB2312"/>
                <w:b w:val="0"/>
                <w:sz w:val="18"/>
              </w:rPr>
              <w:t>□符合 □不符合</w:t>
            </w:r>
          </w:p>
        </w:tc>
        <w:tc>
          <w:tcPr>
            <w:tcW w:w="1769" w:type="dxa"/>
            <w:vAlign w:val="center"/>
          </w:tcPr>
          <w:p w14:paraId="70581979">
            <w:pPr>
              <w:spacing w:after="0" w:line="240" w:lineRule="auto"/>
              <w:jc w:val="center"/>
            </w:pPr>
            <w:r>
              <w:rPr>
                <w:rFonts w:ascii="仿宋_GB2312" w:hAnsi="仿宋_GB2312" w:eastAsia="仿宋_GB2312"/>
                <w:b w:val="0"/>
                <w:sz w:val="18"/>
              </w:rPr>
              <w:t>运行评价</w:t>
            </w:r>
          </w:p>
        </w:tc>
      </w:tr>
      <w:tr w14:paraId="45F8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510A0E6">
            <w:pPr>
              <w:spacing w:after="0" w:line="240" w:lineRule="auto"/>
              <w:jc w:val="center"/>
            </w:pPr>
            <w:r>
              <w:rPr>
                <w:rFonts w:ascii="仿宋_GB2312" w:hAnsi="仿宋_GB2312" w:eastAsia="仿宋_GB2312"/>
                <w:b w:val="0"/>
                <w:sz w:val="18"/>
              </w:rPr>
              <w:t>22</w:t>
            </w:r>
          </w:p>
        </w:tc>
        <w:tc>
          <w:tcPr>
            <w:tcW w:w="10348" w:type="dxa"/>
            <w:vAlign w:val="center"/>
          </w:tcPr>
          <w:p w14:paraId="43445BC4">
            <w:pPr>
              <w:spacing w:after="0" w:line="240" w:lineRule="auto"/>
            </w:pPr>
            <w:r>
              <w:rPr>
                <w:rFonts w:ascii="仿宋_GB2312" w:hAnsi="仿宋_GB2312" w:eastAsia="仿宋_GB2312"/>
                <w:b w:val="0"/>
                <w:sz w:val="18"/>
              </w:rPr>
              <w:t>预拌混凝土配合比设计应满足高性能、绿色化、高耐久性、高抗裂性等要求。</w:t>
            </w:r>
          </w:p>
        </w:tc>
        <w:tc>
          <w:tcPr>
            <w:tcW w:w="1603" w:type="dxa"/>
            <w:vAlign w:val="center"/>
          </w:tcPr>
          <w:p w14:paraId="55D7D968">
            <w:pPr>
              <w:spacing w:after="0" w:line="240" w:lineRule="auto"/>
              <w:jc w:val="center"/>
            </w:pPr>
            <w:r>
              <w:rPr>
                <w:rFonts w:ascii="仿宋_GB2312" w:hAnsi="仿宋_GB2312" w:eastAsia="仿宋_GB2312"/>
                <w:b w:val="0"/>
                <w:sz w:val="18"/>
              </w:rPr>
              <w:t>□符合 □不符合</w:t>
            </w:r>
          </w:p>
        </w:tc>
        <w:tc>
          <w:tcPr>
            <w:tcW w:w="1769" w:type="dxa"/>
            <w:vAlign w:val="center"/>
          </w:tcPr>
          <w:p w14:paraId="54887FC9">
            <w:pPr>
              <w:spacing w:after="0" w:line="240" w:lineRule="auto"/>
              <w:jc w:val="center"/>
            </w:pPr>
            <w:r>
              <w:rPr>
                <w:rFonts w:ascii="仿宋_GB2312" w:hAnsi="仿宋_GB2312" w:eastAsia="仿宋_GB2312"/>
                <w:b w:val="0"/>
                <w:sz w:val="18"/>
              </w:rPr>
              <w:t>运行评价</w:t>
            </w:r>
          </w:p>
        </w:tc>
      </w:tr>
      <w:tr w14:paraId="459AA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2837569">
            <w:pPr>
              <w:spacing w:after="0" w:line="240" w:lineRule="auto"/>
              <w:jc w:val="center"/>
            </w:pPr>
            <w:r>
              <w:rPr>
                <w:rFonts w:ascii="仿宋_GB2312" w:hAnsi="仿宋_GB2312" w:eastAsia="仿宋_GB2312"/>
                <w:b w:val="0"/>
                <w:sz w:val="18"/>
              </w:rPr>
              <w:t>23</w:t>
            </w:r>
          </w:p>
        </w:tc>
        <w:tc>
          <w:tcPr>
            <w:tcW w:w="10348" w:type="dxa"/>
            <w:vAlign w:val="center"/>
          </w:tcPr>
          <w:p w14:paraId="72E37E1C">
            <w:pPr>
              <w:spacing w:after="0" w:line="240" w:lineRule="auto"/>
            </w:pPr>
            <w:r>
              <w:rPr>
                <w:rFonts w:ascii="仿宋_GB2312" w:hAnsi="仿宋_GB2312" w:eastAsia="仿宋_GB2312"/>
                <w:b w:val="0"/>
                <w:sz w:val="18"/>
              </w:rPr>
              <w:t>窗扇与窗框、玻璃与窗扇间密封胶条应选用耐老化、弹性好的材料（如三元乙丙橡胶）；墙体与窗框缝隙填充高性能聚氨酯发泡剂；建筑外侧采用耐候密封胶（如硅酮胶），建筑内侧采用隔声密封胶（如丙烯酸酯类）。</w:t>
            </w:r>
          </w:p>
        </w:tc>
        <w:tc>
          <w:tcPr>
            <w:tcW w:w="1603" w:type="dxa"/>
            <w:vAlign w:val="center"/>
          </w:tcPr>
          <w:p w14:paraId="48FC3487">
            <w:pPr>
              <w:spacing w:after="0" w:line="240" w:lineRule="auto"/>
              <w:jc w:val="center"/>
            </w:pPr>
            <w:r>
              <w:rPr>
                <w:rFonts w:ascii="仿宋_GB2312" w:hAnsi="仿宋_GB2312" w:eastAsia="仿宋_GB2312"/>
                <w:b w:val="0"/>
                <w:sz w:val="18"/>
              </w:rPr>
              <w:t>□符合 □不符合</w:t>
            </w:r>
          </w:p>
        </w:tc>
        <w:tc>
          <w:tcPr>
            <w:tcW w:w="1769" w:type="dxa"/>
            <w:vAlign w:val="center"/>
          </w:tcPr>
          <w:p w14:paraId="593A48C3">
            <w:pPr>
              <w:spacing w:after="0" w:line="240" w:lineRule="auto"/>
              <w:jc w:val="center"/>
            </w:pPr>
            <w:r>
              <w:rPr>
                <w:rFonts w:ascii="仿宋_GB2312" w:hAnsi="仿宋_GB2312" w:eastAsia="仿宋_GB2312"/>
                <w:b w:val="0"/>
                <w:sz w:val="18"/>
              </w:rPr>
              <w:t>运行评价</w:t>
            </w:r>
          </w:p>
        </w:tc>
      </w:tr>
      <w:tr w14:paraId="3FC5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B5D1BD4">
            <w:pPr>
              <w:spacing w:after="0" w:line="240" w:lineRule="auto"/>
              <w:jc w:val="center"/>
            </w:pPr>
            <w:r>
              <w:rPr>
                <w:rFonts w:ascii="仿宋_GB2312" w:hAnsi="仿宋_GB2312" w:eastAsia="仿宋_GB2312"/>
                <w:b w:val="0"/>
                <w:sz w:val="18"/>
              </w:rPr>
              <w:t>24</w:t>
            </w:r>
          </w:p>
        </w:tc>
        <w:tc>
          <w:tcPr>
            <w:tcW w:w="10348" w:type="dxa"/>
            <w:vAlign w:val="center"/>
          </w:tcPr>
          <w:p w14:paraId="3FBB6648">
            <w:pPr>
              <w:spacing w:after="0" w:line="240" w:lineRule="auto"/>
            </w:pPr>
            <w:r>
              <w:rPr>
                <w:rFonts w:ascii="仿宋_GB2312" w:hAnsi="仿宋_GB2312" w:eastAsia="仿宋_GB2312"/>
                <w:b w:val="0"/>
                <w:sz w:val="18"/>
              </w:rPr>
              <w:t>应建立、健全施工质量的检验制度，严格工序管理，做好隐蔽工程的质量检查和记录，留存过程影像资料。</w:t>
            </w:r>
          </w:p>
        </w:tc>
        <w:tc>
          <w:tcPr>
            <w:tcW w:w="1603" w:type="dxa"/>
            <w:vAlign w:val="center"/>
          </w:tcPr>
          <w:p w14:paraId="10826000">
            <w:pPr>
              <w:spacing w:after="0" w:line="240" w:lineRule="auto"/>
              <w:jc w:val="center"/>
            </w:pPr>
            <w:r>
              <w:rPr>
                <w:rFonts w:ascii="仿宋_GB2312" w:hAnsi="仿宋_GB2312" w:eastAsia="仿宋_GB2312"/>
                <w:b w:val="0"/>
                <w:sz w:val="18"/>
              </w:rPr>
              <w:t>□符合 □不符合</w:t>
            </w:r>
          </w:p>
        </w:tc>
        <w:tc>
          <w:tcPr>
            <w:tcW w:w="1769" w:type="dxa"/>
            <w:vAlign w:val="center"/>
          </w:tcPr>
          <w:p w14:paraId="2EB74941">
            <w:pPr>
              <w:spacing w:after="0" w:line="240" w:lineRule="auto"/>
              <w:jc w:val="center"/>
            </w:pPr>
            <w:r>
              <w:rPr>
                <w:rFonts w:ascii="仿宋_GB2312" w:hAnsi="仿宋_GB2312" w:eastAsia="仿宋_GB2312"/>
                <w:b w:val="0"/>
                <w:sz w:val="18"/>
              </w:rPr>
              <w:t>运行评价</w:t>
            </w:r>
          </w:p>
        </w:tc>
      </w:tr>
      <w:tr w14:paraId="43688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9141F19">
            <w:pPr>
              <w:spacing w:after="0" w:line="240" w:lineRule="auto"/>
              <w:jc w:val="center"/>
            </w:pPr>
            <w:r>
              <w:rPr>
                <w:rFonts w:ascii="仿宋_GB2312" w:hAnsi="仿宋_GB2312" w:eastAsia="仿宋_GB2312"/>
                <w:b w:val="0"/>
                <w:sz w:val="18"/>
              </w:rPr>
              <w:t>25</w:t>
            </w:r>
          </w:p>
        </w:tc>
        <w:tc>
          <w:tcPr>
            <w:tcW w:w="10348" w:type="dxa"/>
            <w:vAlign w:val="center"/>
          </w:tcPr>
          <w:p w14:paraId="7470E41C">
            <w:pPr>
              <w:spacing w:after="0" w:line="240" w:lineRule="auto"/>
            </w:pPr>
            <w:r>
              <w:rPr>
                <w:rFonts w:ascii="仿宋_GB2312" w:hAnsi="仿宋_GB2312" w:eastAsia="仿宋_GB2312"/>
                <w:b w:val="0"/>
                <w:sz w:val="18"/>
              </w:rPr>
              <w:t>对易出现质量问题的部位和工序进行验收时，应实行举牌验收制度。</w:t>
            </w:r>
          </w:p>
        </w:tc>
        <w:tc>
          <w:tcPr>
            <w:tcW w:w="1603" w:type="dxa"/>
            <w:vAlign w:val="center"/>
          </w:tcPr>
          <w:p w14:paraId="5E2654C0">
            <w:pPr>
              <w:spacing w:after="0" w:line="240" w:lineRule="auto"/>
              <w:jc w:val="center"/>
            </w:pPr>
            <w:r>
              <w:rPr>
                <w:rFonts w:ascii="仿宋_GB2312" w:hAnsi="仿宋_GB2312" w:eastAsia="仿宋_GB2312"/>
                <w:b w:val="0"/>
                <w:sz w:val="18"/>
              </w:rPr>
              <w:t>□符合 □不符合</w:t>
            </w:r>
          </w:p>
        </w:tc>
        <w:tc>
          <w:tcPr>
            <w:tcW w:w="1769" w:type="dxa"/>
            <w:vAlign w:val="center"/>
          </w:tcPr>
          <w:p w14:paraId="0C957C4A">
            <w:pPr>
              <w:spacing w:after="0" w:line="240" w:lineRule="auto"/>
              <w:jc w:val="center"/>
            </w:pPr>
            <w:r>
              <w:rPr>
                <w:rFonts w:ascii="仿宋_GB2312" w:hAnsi="仿宋_GB2312" w:eastAsia="仿宋_GB2312"/>
                <w:b w:val="0"/>
                <w:sz w:val="18"/>
              </w:rPr>
              <w:t>运行评价</w:t>
            </w:r>
          </w:p>
        </w:tc>
      </w:tr>
      <w:tr w14:paraId="1B77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D596E1C">
            <w:pPr>
              <w:spacing w:after="0" w:line="240" w:lineRule="auto"/>
              <w:jc w:val="center"/>
            </w:pPr>
            <w:r>
              <w:rPr>
                <w:rFonts w:ascii="仿宋_GB2312" w:hAnsi="仿宋_GB2312" w:eastAsia="仿宋_GB2312"/>
                <w:b w:val="0"/>
                <w:sz w:val="18"/>
              </w:rPr>
              <w:t>26</w:t>
            </w:r>
          </w:p>
        </w:tc>
        <w:tc>
          <w:tcPr>
            <w:tcW w:w="10348" w:type="dxa"/>
            <w:vAlign w:val="center"/>
          </w:tcPr>
          <w:p w14:paraId="2C3EC246">
            <w:pPr>
              <w:spacing w:after="0" w:line="240" w:lineRule="auto"/>
            </w:pPr>
            <w:r>
              <w:rPr>
                <w:rFonts w:ascii="仿宋_GB2312" w:hAnsi="仿宋_GB2312" w:eastAsia="仿宋_GB2312"/>
                <w:b w:val="0"/>
                <w:sz w:val="18"/>
              </w:rPr>
              <w:t>模板工程应选用周转率高的模板和受力体系稳定的支撑体系。</w:t>
            </w:r>
          </w:p>
        </w:tc>
        <w:tc>
          <w:tcPr>
            <w:tcW w:w="1603" w:type="dxa"/>
            <w:vAlign w:val="center"/>
          </w:tcPr>
          <w:p w14:paraId="48BA80EB">
            <w:pPr>
              <w:spacing w:after="0" w:line="240" w:lineRule="auto"/>
              <w:jc w:val="center"/>
            </w:pPr>
            <w:r>
              <w:rPr>
                <w:rFonts w:ascii="仿宋_GB2312" w:hAnsi="仿宋_GB2312" w:eastAsia="仿宋_GB2312"/>
                <w:b w:val="0"/>
                <w:sz w:val="18"/>
              </w:rPr>
              <w:t>□符合 □不符合</w:t>
            </w:r>
          </w:p>
        </w:tc>
        <w:tc>
          <w:tcPr>
            <w:tcW w:w="1769" w:type="dxa"/>
            <w:vAlign w:val="center"/>
          </w:tcPr>
          <w:p w14:paraId="090F852A">
            <w:pPr>
              <w:spacing w:after="0" w:line="240" w:lineRule="auto"/>
              <w:jc w:val="center"/>
            </w:pPr>
            <w:r>
              <w:rPr>
                <w:rFonts w:ascii="仿宋_GB2312" w:hAnsi="仿宋_GB2312" w:eastAsia="仿宋_GB2312"/>
                <w:b w:val="0"/>
                <w:sz w:val="18"/>
              </w:rPr>
              <w:t>运行评价</w:t>
            </w:r>
          </w:p>
        </w:tc>
      </w:tr>
      <w:tr w14:paraId="3A46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F6D815E">
            <w:pPr>
              <w:spacing w:after="0" w:line="240" w:lineRule="auto"/>
              <w:jc w:val="center"/>
            </w:pPr>
            <w:r>
              <w:rPr>
                <w:rFonts w:ascii="仿宋_GB2312" w:hAnsi="仿宋_GB2312" w:eastAsia="仿宋_GB2312"/>
                <w:b w:val="0"/>
                <w:sz w:val="18"/>
              </w:rPr>
              <w:t>27</w:t>
            </w:r>
          </w:p>
        </w:tc>
        <w:tc>
          <w:tcPr>
            <w:tcW w:w="10348" w:type="dxa"/>
            <w:vAlign w:val="center"/>
          </w:tcPr>
          <w:p w14:paraId="17822115">
            <w:pPr>
              <w:spacing w:after="0" w:line="240" w:lineRule="auto"/>
            </w:pPr>
            <w:r>
              <w:rPr>
                <w:rFonts w:ascii="仿宋_GB2312" w:hAnsi="仿宋_GB2312" w:eastAsia="仿宋_GB2312"/>
                <w:b w:val="0"/>
                <w:sz w:val="18"/>
              </w:rPr>
              <w:t>防水工程施工应符合下列规定：①地下防水：地下室底板采用跳仓法施工，施工缝、穿墙套管等关键部位防水措施到位，阴阳角设置结构倒角；②屋面防水：伸出屋面构件与屋面结构整体浇筑，防水卷材收口牢固，完成蓄水试验合格；③外墙防水：外墙螺杆洞进行三遍防水加强，预制构件接缝防水加强，洞口周边设置混凝土防水翻边；④有水房间防水：墙体根部设置≥200mm钢筋混凝土导墙，管道根部采用微膨胀细石混凝土浇筑，完成结构闭水及防水层蓄水试验。</w:t>
            </w:r>
          </w:p>
        </w:tc>
        <w:tc>
          <w:tcPr>
            <w:tcW w:w="1603" w:type="dxa"/>
            <w:vAlign w:val="center"/>
          </w:tcPr>
          <w:p w14:paraId="3897A137">
            <w:pPr>
              <w:spacing w:after="0" w:line="240" w:lineRule="auto"/>
              <w:jc w:val="center"/>
            </w:pPr>
            <w:r>
              <w:rPr>
                <w:rFonts w:ascii="仿宋_GB2312" w:hAnsi="仿宋_GB2312" w:eastAsia="仿宋_GB2312"/>
                <w:b w:val="0"/>
                <w:sz w:val="18"/>
              </w:rPr>
              <w:t>□符合 □不符合</w:t>
            </w:r>
          </w:p>
        </w:tc>
        <w:tc>
          <w:tcPr>
            <w:tcW w:w="1769" w:type="dxa"/>
            <w:vAlign w:val="center"/>
          </w:tcPr>
          <w:p w14:paraId="75248804">
            <w:pPr>
              <w:spacing w:after="0" w:line="240" w:lineRule="auto"/>
              <w:jc w:val="center"/>
            </w:pPr>
            <w:r>
              <w:rPr>
                <w:rFonts w:ascii="仿宋_GB2312" w:hAnsi="仿宋_GB2312" w:eastAsia="仿宋_GB2312"/>
                <w:b w:val="0"/>
                <w:sz w:val="18"/>
              </w:rPr>
              <w:t>运行评价</w:t>
            </w:r>
          </w:p>
        </w:tc>
      </w:tr>
      <w:tr w14:paraId="17F6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80BC0CE">
            <w:pPr>
              <w:spacing w:after="0" w:line="240" w:lineRule="auto"/>
              <w:jc w:val="center"/>
            </w:pPr>
            <w:r>
              <w:rPr>
                <w:rFonts w:ascii="仿宋_GB2312" w:hAnsi="仿宋_GB2312" w:eastAsia="仿宋_GB2312"/>
                <w:b w:val="0"/>
                <w:sz w:val="18"/>
              </w:rPr>
              <w:t>28</w:t>
            </w:r>
          </w:p>
        </w:tc>
        <w:tc>
          <w:tcPr>
            <w:tcW w:w="10348" w:type="dxa"/>
            <w:vAlign w:val="center"/>
          </w:tcPr>
          <w:p w14:paraId="6B8E58E0">
            <w:pPr>
              <w:spacing w:after="0" w:line="240" w:lineRule="auto"/>
            </w:pPr>
            <w:r>
              <w:rPr>
                <w:rFonts w:ascii="仿宋_GB2312" w:hAnsi="仿宋_GB2312" w:eastAsia="仿宋_GB2312"/>
                <w:b w:val="0"/>
                <w:sz w:val="18"/>
              </w:rPr>
              <w:t>保温板粘贴错缝、阴阳角做错茬处理，锚栓安装数量及深度达标，不同基体交接处钢丝网搭接宽度符合要求，抗裂措施到位。</w:t>
            </w:r>
          </w:p>
        </w:tc>
        <w:tc>
          <w:tcPr>
            <w:tcW w:w="1603" w:type="dxa"/>
            <w:vAlign w:val="center"/>
          </w:tcPr>
          <w:p w14:paraId="19054896">
            <w:pPr>
              <w:spacing w:after="0" w:line="240" w:lineRule="auto"/>
              <w:jc w:val="center"/>
            </w:pPr>
            <w:r>
              <w:rPr>
                <w:rFonts w:ascii="仿宋_GB2312" w:hAnsi="仿宋_GB2312" w:eastAsia="仿宋_GB2312"/>
                <w:b w:val="0"/>
                <w:sz w:val="18"/>
              </w:rPr>
              <w:t>□符合 □不符合</w:t>
            </w:r>
          </w:p>
        </w:tc>
        <w:tc>
          <w:tcPr>
            <w:tcW w:w="1769" w:type="dxa"/>
            <w:vAlign w:val="center"/>
          </w:tcPr>
          <w:p w14:paraId="477986E1">
            <w:pPr>
              <w:spacing w:after="0" w:line="240" w:lineRule="auto"/>
              <w:jc w:val="center"/>
            </w:pPr>
            <w:r>
              <w:rPr>
                <w:rFonts w:ascii="仿宋_GB2312" w:hAnsi="仿宋_GB2312" w:eastAsia="仿宋_GB2312"/>
                <w:b w:val="0"/>
                <w:sz w:val="18"/>
              </w:rPr>
              <w:t>运行评价</w:t>
            </w:r>
          </w:p>
        </w:tc>
      </w:tr>
      <w:tr w14:paraId="7428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84E5A72">
            <w:pPr>
              <w:spacing w:after="0" w:line="240" w:lineRule="auto"/>
              <w:jc w:val="center"/>
            </w:pPr>
            <w:r>
              <w:rPr>
                <w:rFonts w:ascii="仿宋_GB2312" w:hAnsi="仿宋_GB2312" w:eastAsia="仿宋_GB2312"/>
                <w:b w:val="0"/>
                <w:sz w:val="18"/>
              </w:rPr>
              <w:t>29</w:t>
            </w:r>
          </w:p>
        </w:tc>
        <w:tc>
          <w:tcPr>
            <w:tcW w:w="10348" w:type="dxa"/>
            <w:vAlign w:val="center"/>
          </w:tcPr>
          <w:p w14:paraId="16D8DF8B">
            <w:pPr>
              <w:spacing w:after="0" w:line="240" w:lineRule="auto"/>
            </w:pPr>
            <w:r>
              <w:rPr>
                <w:rFonts w:ascii="仿宋_GB2312" w:hAnsi="仿宋_GB2312" w:eastAsia="仿宋_GB2312"/>
                <w:b w:val="0"/>
                <w:sz w:val="18"/>
              </w:rPr>
              <w:t>屋面保温层与外墙、女儿墙保温层连续设置，女儿墙等部位设置金属盖板并采取阻断热桥措施，伸出屋面管道套管内填充保温材料。</w:t>
            </w:r>
          </w:p>
        </w:tc>
        <w:tc>
          <w:tcPr>
            <w:tcW w:w="1603" w:type="dxa"/>
            <w:vAlign w:val="center"/>
          </w:tcPr>
          <w:p w14:paraId="6C10D3B0">
            <w:pPr>
              <w:spacing w:after="0" w:line="240" w:lineRule="auto"/>
              <w:jc w:val="center"/>
            </w:pPr>
            <w:r>
              <w:rPr>
                <w:rFonts w:ascii="仿宋_GB2312" w:hAnsi="仿宋_GB2312" w:eastAsia="仿宋_GB2312"/>
                <w:b w:val="0"/>
                <w:sz w:val="18"/>
              </w:rPr>
              <w:t>□符合 □不符合</w:t>
            </w:r>
          </w:p>
        </w:tc>
        <w:tc>
          <w:tcPr>
            <w:tcW w:w="1769" w:type="dxa"/>
            <w:vAlign w:val="center"/>
          </w:tcPr>
          <w:p w14:paraId="3249B488">
            <w:pPr>
              <w:spacing w:after="0" w:line="240" w:lineRule="auto"/>
              <w:jc w:val="center"/>
            </w:pPr>
            <w:r>
              <w:rPr>
                <w:rFonts w:ascii="仿宋_GB2312" w:hAnsi="仿宋_GB2312" w:eastAsia="仿宋_GB2312"/>
                <w:b w:val="0"/>
                <w:sz w:val="18"/>
              </w:rPr>
              <w:t>运行评价</w:t>
            </w:r>
          </w:p>
        </w:tc>
      </w:tr>
      <w:tr w14:paraId="277E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2A90EFC">
            <w:pPr>
              <w:spacing w:after="0" w:line="240" w:lineRule="auto"/>
              <w:jc w:val="center"/>
            </w:pPr>
            <w:r>
              <w:rPr>
                <w:rFonts w:ascii="仿宋_GB2312" w:hAnsi="仿宋_GB2312" w:eastAsia="仿宋_GB2312"/>
                <w:b w:val="0"/>
                <w:sz w:val="18"/>
              </w:rPr>
              <w:t>30</w:t>
            </w:r>
          </w:p>
        </w:tc>
        <w:tc>
          <w:tcPr>
            <w:tcW w:w="10348" w:type="dxa"/>
            <w:vAlign w:val="center"/>
          </w:tcPr>
          <w:p w14:paraId="64AAB500">
            <w:pPr>
              <w:spacing w:after="0" w:line="240" w:lineRule="auto"/>
            </w:pPr>
            <w:r>
              <w:rPr>
                <w:rFonts w:ascii="仿宋_GB2312" w:hAnsi="仿宋_GB2312" w:eastAsia="仿宋_GB2312"/>
                <w:b w:val="0"/>
                <w:sz w:val="18"/>
              </w:rPr>
              <w:t>减震、隔音：重型设备采用弹簧减震器或橡胶减震垫，管道与设备采用柔性接头连接，风机进出口设置防火帆布软连接；风机盘管、新风风口与风管连接处设消音软管，空调室内机吊装用弹簧减震钩。</w:t>
            </w:r>
          </w:p>
        </w:tc>
        <w:tc>
          <w:tcPr>
            <w:tcW w:w="1603" w:type="dxa"/>
            <w:vAlign w:val="center"/>
          </w:tcPr>
          <w:p w14:paraId="09AEF99E">
            <w:pPr>
              <w:spacing w:after="0" w:line="240" w:lineRule="auto"/>
              <w:jc w:val="center"/>
            </w:pPr>
            <w:r>
              <w:rPr>
                <w:rFonts w:ascii="仿宋_GB2312" w:hAnsi="仿宋_GB2312" w:eastAsia="仿宋_GB2312"/>
                <w:b w:val="0"/>
                <w:sz w:val="18"/>
              </w:rPr>
              <w:t>□符合 □不符合</w:t>
            </w:r>
          </w:p>
        </w:tc>
        <w:tc>
          <w:tcPr>
            <w:tcW w:w="1769" w:type="dxa"/>
            <w:vAlign w:val="center"/>
          </w:tcPr>
          <w:p w14:paraId="3D37A968">
            <w:pPr>
              <w:spacing w:after="0" w:line="240" w:lineRule="auto"/>
              <w:jc w:val="center"/>
            </w:pPr>
            <w:r>
              <w:rPr>
                <w:rFonts w:ascii="仿宋_GB2312" w:hAnsi="仿宋_GB2312" w:eastAsia="仿宋_GB2312"/>
                <w:b w:val="0"/>
                <w:sz w:val="18"/>
              </w:rPr>
              <w:t>运行评价</w:t>
            </w:r>
          </w:p>
        </w:tc>
      </w:tr>
      <w:tr w14:paraId="70ED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E1978FE">
            <w:pPr>
              <w:spacing w:after="0" w:line="240" w:lineRule="auto"/>
              <w:jc w:val="center"/>
            </w:pPr>
            <w:r>
              <w:rPr>
                <w:rFonts w:ascii="仿宋_GB2312" w:hAnsi="仿宋_GB2312" w:eastAsia="仿宋_GB2312"/>
                <w:b w:val="0"/>
                <w:sz w:val="18"/>
              </w:rPr>
              <w:t>31</w:t>
            </w:r>
          </w:p>
        </w:tc>
        <w:tc>
          <w:tcPr>
            <w:tcW w:w="10348" w:type="dxa"/>
            <w:vAlign w:val="center"/>
          </w:tcPr>
          <w:p w14:paraId="541E8422">
            <w:pPr>
              <w:spacing w:after="0" w:line="240" w:lineRule="auto"/>
            </w:pPr>
            <w:r>
              <w:rPr>
                <w:rFonts w:ascii="仿宋_GB2312" w:hAnsi="仿宋_GB2312" w:eastAsia="仿宋_GB2312"/>
                <w:b w:val="0"/>
                <w:sz w:val="18"/>
              </w:rPr>
              <w:t>物业服务应达到《住宅物业服务标准》DBJ04/T 292四级及以上标准；其中秩序维护的管理必须达到五级标准。</w:t>
            </w:r>
          </w:p>
        </w:tc>
        <w:tc>
          <w:tcPr>
            <w:tcW w:w="1603" w:type="dxa"/>
            <w:vAlign w:val="center"/>
          </w:tcPr>
          <w:p w14:paraId="5C9ECCB5">
            <w:pPr>
              <w:spacing w:after="0" w:line="240" w:lineRule="auto"/>
              <w:jc w:val="center"/>
            </w:pPr>
            <w:r>
              <w:rPr>
                <w:rFonts w:ascii="仿宋_GB2312" w:hAnsi="仿宋_GB2312" w:eastAsia="仿宋_GB2312"/>
                <w:b w:val="0"/>
                <w:sz w:val="18"/>
              </w:rPr>
              <w:t>□符合 □不符合</w:t>
            </w:r>
          </w:p>
        </w:tc>
        <w:tc>
          <w:tcPr>
            <w:tcW w:w="1769" w:type="dxa"/>
            <w:vAlign w:val="center"/>
          </w:tcPr>
          <w:p w14:paraId="7BF60B46">
            <w:pPr>
              <w:spacing w:after="0" w:line="240" w:lineRule="auto"/>
              <w:jc w:val="center"/>
            </w:pPr>
            <w:r>
              <w:rPr>
                <w:rFonts w:ascii="仿宋_GB2312" w:hAnsi="仿宋_GB2312" w:eastAsia="仿宋_GB2312"/>
                <w:b w:val="0"/>
                <w:sz w:val="18"/>
              </w:rPr>
              <w:t>运行评价</w:t>
            </w:r>
          </w:p>
        </w:tc>
      </w:tr>
    </w:tbl>
    <w:p w14:paraId="4E88F0EF">
      <w:pPr>
        <w:rPr>
          <w:b/>
          <w:bCs w:val="0"/>
          <w:sz w:val="28"/>
          <w:szCs w:val="28"/>
        </w:rPr>
      </w:pPr>
      <w:r>
        <w:rPr>
          <w:rFonts w:ascii="楷体_GB2312" w:hAnsi="楷体_GB2312" w:eastAsia="楷体_GB2312"/>
          <w:b/>
          <w:bCs w:val="0"/>
          <w:sz w:val="28"/>
          <w:szCs w:val="28"/>
        </w:rPr>
        <w:t>（二）评分项（共</w:t>
      </w:r>
      <w:r>
        <w:rPr>
          <w:rFonts w:hint="eastAsia" w:ascii="楷体_GB2312" w:hAnsi="楷体_GB2312" w:eastAsia="楷体_GB2312"/>
          <w:b/>
          <w:bCs w:val="0"/>
          <w:sz w:val="28"/>
          <w:szCs w:val="28"/>
          <w:lang w:val="en-US" w:eastAsia="zh-CN"/>
        </w:rPr>
        <w:t>27</w:t>
      </w:r>
      <w:r>
        <w:rPr>
          <w:rFonts w:ascii="楷体_GB2312" w:hAnsi="楷体_GB2312" w:eastAsia="楷体_GB2312"/>
          <w:b/>
          <w:bCs w:val="0"/>
          <w:sz w:val="28"/>
          <w:szCs w:val="28"/>
        </w:rPr>
        <w:t>条）</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0340"/>
        <w:gridCol w:w="1619"/>
        <w:gridCol w:w="1761"/>
      </w:tblGrid>
      <w:tr w14:paraId="18D2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2F2F2"/>
            <w:vAlign w:val="center"/>
          </w:tcPr>
          <w:p w14:paraId="18CD776F">
            <w:pPr>
              <w:spacing w:after="0" w:line="240" w:lineRule="auto"/>
              <w:jc w:val="center"/>
              <w:rPr>
                <w:rFonts w:ascii="黑体" w:hAnsi="黑体" w:eastAsia="黑体"/>
                <w:b/>
                <w:sz w:val="24"/>
                <w:szCs w:val="24"/>
              </w:rPr>
            </w:pPr>
            <w:r>
              <w:rPr>
                <w:rFonts w:ascii="黑体" w:hAnsi="黑体" w:eastAsia="黑体"/>
                <w:b/>
                <w:sz w:val="24"/>
                <w:szCs w:val="24"/>
              </w:rPr>
              <w:t>序号</w:t>
            </w:r>
          </w:p>
        </w:tc>
        <w:tc>
          <w:tcPr>
            <w:tcW w:w="10340" w:type="dxa"/>
            <w:shd w:val="clear" w:color="auto" w:fill="F2F2F2"/>
            <w:vAlign w:val="center"/>
          </w:tcPr>
          <w:p w14:paraId="6C87FF27">
            <w:pPr>
              <w:spacing w:after="0" w:line="240" w:lineRule="auto"/>
              <w:jc w:val="center"/>
              <w:rPr>
                <w:rFonts w:ascii="黑体" w:hAnsi="黑体" w:eastAsia="黑体"/>
                <w:b/>
                <w:sz w:val="24"/>
                <w:szCs w:val="24"/>
              </w:rPr>
            </w:pPr>
            <w:r>
              <w:rPr>
                <w:rFonts w:ascii="黑体" w:hAnsi="黑体" w:eastAsia="黑体"/>
                <w:b/>
                <w:sz w:val="24"/>
                <w:szCs w:val="24"/>
              </w:rPr>
              <w:t>评分项内容</w:t>
            </w:r>
          </w:p>
        </w:tc>
        <w:tc>
          <w:tcPr>
            <w:tcW w:w="1619" w:type="dxa"/>
            <w:shd w:val="clear" w:color="auto" w:fill="F2F2F2"/>
            <w:vAlign w:val="center"/>
          </w:tcPr>
          <w:p w14:paraId="2AFA9F8D">
            <w:pPr>
              <w:spacing w:after="0" w:line="240" w:lineRule="auto"/>
              <w:jc w:val="center"/>
              <w:rPr>
                <w:rFonts w:ascii="黑体" w:hAnsi="黑体" w:eastAsia="黑体"/>
                <w:b/>
                <w:sz w:val="24"/>
                <w:szCs w:val="24"/>
              </w:rPr>
            </w:pPr>
            <w:r>
              <w:rPr>
                <w:rFonts w:ascii="黑体" w:hAnsi="黑体" w:eastAsia="黑体"/>
                <w:b/>
                <w:sz w:val="24"/>
                <w:szCs w:val="24"/>
              </w:rPr>
              <w:t>自查结果</w:t>
            </w:r>
          </w:p>
        </w:tc>
        <w:tc>
          <w:tcPr>
            <w:tcW w:w="1761" w:type="dxa"/>
            <w:shd w:val="clear" w:color="auto" w:fill="F2F2F2"/>
            <w:vAlign w:val="center"/>
          </w:tcPr>
          <w:p w14:paraId="358DCAED">
            <w:pPr>
              <w:spacing w:after="0" w:line="240" w:lineRule="auto"/>
              <w:jc w:val="center"/>
              <w:rPr>
                <w:rFonts w:ascii="黑体" w:hAnsi="黑体" w:eastAsia="黑体"/>
                <w:b/>
                <w:sz w:val="24"/>
                <w:szCs w:val="24"/>
              </w:rPr>
            </w:pPr>
            <w:r>
              <w:rPr>
                <w:rFonts w:ascii="黑体" w:hAnsi="黑体" w:eastAsia="黑体"/>
                <w:b/>
                <w:sz w:val="24"/>
                <w:szCs w:val="24"/>
              </w:rPr>
              <w:t>备注</w:t>
            </w:r>
          </w:p>
        </w:tc>
      </w:tr>
      <w:tr w14:paraId="2B04D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44B7138">
            <w:pPr>
              <w:spacing w:after="0" w:line="240" w:lineRule="auto"/>
              <w:jc w:val="center"/>
            </w:pPr>
            <w:r>
              <w:rPr>
                <w:rFonts w:ascii="仿宋_GB2312" w:hAnsi="仿宋_GB2312" w:eastAsia="仿宋_GB2312"/>
                <w:b w:val="0"/>
                <w:sz w:val="18"/>
              </w:rPr>
              <w:t>1</w:t>
            </w:r>
          </w:p>
        </w:tc>
        <w:tc>
          <w:tcPr>
            <w:tcW w:w="10340" w:type="dxa"/>
            <w:vAlign w:val="center"/>
          </w:tcPr>
          <w:p w14:paraId="50FF902A">
            <w:pPr>
              <w:spacing w:after="0" w:line="240" w:lineRule="auto"/>
              <w:rPr>
                <w:rFonts w:hint="eastAsia" w:eastAsia="仿宋_GB2312"/>
                <w:lang w:eastAsia="zh-CN"/>
              </w:rPr>
            </w:pPr>
            <w:r>
              <w:rPr>
                <w:rFonts w:ascii="仿宋_GB2312" w:hAnsi="仿宋_GB2312" w:eastAsia="仿宋_GB2312"/>
                <w:b w:val="0"/>
                <w:sz w:val="18"/>
              </w:rPr>
              <w:t>应急避难场所应利用居住区出入口广场、活动场地设置，并设置清晰连续的标识系统</w:t>
            </w:r>
            <w:r>
              <w:rPr>
                <w:rFonts w:hint="eastAsia" w:ascii="仿宋_GB2312" w:hAnsi="仿宋_GB2312" w:eastAsia="仿宋_GB2312"/>
                <w:b w:val="0"/>
                <w:sz w:val="18"/>
                <w:lang w:eastAsia="zh-CN"/>
              </w:rPr>
              <w:t>。</w:t>
            </w:r>
          </w:p>
        </w:tc>
        <w:tc>
          <w:tcPr>
            <w:tcW w:w="1619" w:type="dxa"/>
            <w:vAlign w:val="center"/>
          </w:tcPr>
          <w:p w14:paraId="786C2805">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0413903C">
            <w:pPr>
              <w:spacing w:after="0" w:line="240" w:lineRule="auto"/>
              <w:jc w:val="left"/>
            </w:pPr>
            <w:r>
              <w:rPr>
                <w:rFonts w:hint="eastAsia" w:ascii="仿宋_GB2312" w:hAnsi="仿宋_GB2312" w:eastAsia="仿宋_GB2312"/>
                <w:b w:val="0"/>
                <w:sz w:val="18"/>
                <w:lang w:val="en-US" w:eastAsia="zh-CN"/>
              </w:rPr>
              <w:t>满足1项</w:t>
            </w:r>
            <w:r>
              <w:rPr>
                <w:rFonts w:hint="eastAsia" w:ascii="仿宋_GB2312" w:hAnsi="仿宋_GB2312" w:eastAsia="仿宋_GB2312"/>
                <w:b w:val="0"/>
                <w:sz w:val="18"/>
                <w:lang w:val="en-US" w:eastAsia="zh"/>
              </w:rPr>
              <w:t>4</w:t>
            </w:r>
            <w:r>
              <w:rPr>
                <w:rFonts w:hint="eastAsia" w:ascii="仿宋_GB2312" w:hAnsi="仿宋_GB2312" w:eastAsia="仿宋_GB2312"/>
                <w:b w:val="0"/>
                <w:sz w:val="18"/>
                <w:lang w:val="en-US" w:eastAsia="zh-CN"/>
              </w:rPr>
              <w:t>分，满足2项</w:t>
            </w:r>
            <w:r>
              <w:rPr>
                <w:rFonts w:hint="eastAsia" w:ascii="仿宋_GB2312" w:hAnsi="仿宋_GB2312" w:eastAsia="仿宋_GB2312"/>
                <w:b w:val="0"/>
                <w:sz w:val="18"/>
                <w:lang w:val="en-US" w:eastAsia="zh"/>
              </w:rPr>
              <w:t>8</w:t>
            </w:r>
            <w:r>
              <w:rPr>
                <w:rFonts w:hint="eastAsia" w:ascii="仿宋_GB2312" w:hAnsi="仿宋_GB2312" w:eastAsia="仿宋_GB2312"/>
                <w:b w:val="0"/>
                <w:sz w:val="18"/>
                <w:lang w:val="en-US" w:eastAsia="zh-CN"/>
              </w:rPr>
              <w:t>分</w:t>
            </w:r>
            <w:r>
              <w:rPr>
                <w:rFonts w:hint="eastAsia" w:ascii="仿宋_GB2312" w:hAnsi="仿宋_GB2312" w:eastAsia="仿宋_GB2312"/>
                <w:b w:val="0"/>
                <w:sz w:val="18"/>
                <w:lang w:val="en-US" w:eastAsia="zh"/>
              </w:rPr>
              <w:t>，</w:t>
            </w:r>
            <w:r>
              <w:rPr>
                <w:rFonts w:hint="eastAsia" w:ascii="仿宋_GB2312" w:hAnsi="仿宋_GB2312" w:eastAsia="仿宋_GB2312"/>
                <w:b w:val="0"/>
                <w:sz w:val="18"/>
                <w:lang w:val="en-US" w:eastAsia="zh-CN"/>
              </w:rPr>
              <w:t>满足3项以上16分</w:t>
            </w:r>
          </w:p>
        </w:tc>
      </w:tr>
      <w:tr w14:paraId="6108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C79C619">
            <w:pPr>
              <w:spacing w:after="0" w:line="240" w:lineRule="auto"/>
              <w:jc w:val="center"/>
            </w:pPr>
            <w:r>
              <w:rPr>
                <w:rFonts w:ascii="仿宋_GB2312" w:hAnsi="仿宋_GB2312" w:eastAsia="仿宋_GB2312"/>
                <w:b w:val="0"/>
                <w:sz w:val="18"/>
              </w:rPr>
              <w:t>2</w:t>
            </w:r>
          </w:p>
        </w:tc>
        <w:tc>
          <w:tcPr>
            <w:tcW w:w="10340" w:type="dxa"/>
            <w:vAlign w:val="center"/>
          </w:tcPr>
          <w:p w14:paraId="1CD1D4F8">
            <w:pPr>
              <w:spacing w:after="0" w:line="240" w:lineRule="auto"/>
              <w:rPr>
                <w:rFonts w:hint="eastAsia" w:eastAsia="仿宋_GB2312"/>
                <w:lang w:eastAsia="zh-CN"/>
              </w:rPr>
            </w:pPr>
            <w:r>
              <w:rPr>
                <w:rFonts w:ascii="仿宋_GB2312" w:hAnsi="仿宋_GB2312" w:eastAsia="仿宋_GB2312"/>
                <w:b w:val="0"/>
                <w:sz w:val="18"/>
              </w:rPr>
              <w:t>电动自行车停车棚与充电设施优先采用地上独立设置方式</w:t>
            </w:r>
            <w:r>
              <w:rPr>
                <w:rFonts w:hint="eastAsia" w:ascii="仿宋_GB2312" w:hAnsi="仿宋_GB2312" w:eastAsia="仿宋_GB2312"/>
                <w:b w:val="0"/>
                <w:sz w:val="18"/>
                <w:lang w:eastAsia="zh-CN"/>
              </w:rPr>
              <w:t>。</w:t>
            </w:r>
          </w:p>
        </w:tc>
        <w:tc>
          <w:tcPr>
            <w:tcW w:w="1619" w:type="dxa"/>
            <w:vAlign w:val="center"/>
          </w:tcPr>
          <w:p w14:paraId="42BD3FDA">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5AB658C0">
            <w:pPr>
              <w:spacing w:after="0" w:line="240" w:lineRule="auto"/>
              <w:jc w:val="left"/>
            </w:pPr>
          </w:p>
        </w:tc>
      </w:tr>
      <w:tr w14:paraId="01B5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DB444A3">
            <w:pPr>
              <w:spacing w:after="0" w:line="240" w:lineRule="auto"/>
              <w:jc w:val="center"/>
            </w:pPr>
            <w:r>
              <w:rPr>
                <w:rFonts w:ascii="仿宋_GB2312" w:hAnsi="仿宋_GB2312" w:eastAsia="仿宋_GB2312"/>
                <w:b w:val="0"/>
                <w:sz w:val="18"/>
              </w:rPr>
              <w:t>3</w:t>
            </w:r>
          </w:p>
        </w:tc>
        <w:tc>
          <w:tcPr>
            <w:tcW w:w="10340" w:type="dxa"/>
            <w:vAlign w:val="center"/>
          </w:tcPr>
          <w:p w14:paraId="6FD5A2FB">
            <w:pPr>
              <w:spacing w:after="0" w:line="240" w:lineRule="auto"/>
              <w:rPr>
                <w:rFonts w:hint="eastAsia" w:eastAsia="仿宋_GB2312"/>
                <w:lang w:eastAsia="zh-CN"/>
              </w:rPr>
            </w:pPr>
            <w:r>
              <w:rPr>
                <w:rFonts w:ascii="仿宋_GB2312" w:hAnsi="仿宋_GB2312" w:eastAsia="仿宋_GB2312"/>
                <w:b w:val="0"/>
                <w:sz w:val="18"/>
              </w:rPr>
              <w:t>建筑周边利用景观或场地设置防坠落的缓冲区隔离带，宽度≥3.00m</w:t>
            </w:r>
            <w:r>
              <w:rPr>
                <w:rFonts w:hint="eastAsia" w:ascii="仿宋_GB2312" w:hAnsi="仿宋_GB2312" w:eastAsia="仿宋_GB2312"/>
                <w:b w:val="0"/>
                <w:sz w:val="18"/>
                <w:lang w:eastAsia="zh-CN"/>
              </w:rPr>
              <w:t>。</w:t>
            </w:r>
          </w:p>
        </w:tc>
        <w:tc>
          <w:tcPr>
            <w:tcW w:w="1619" w:type="dxa"/>
            <w:vAlign w:val="center"/>
          </w:tcPr>
          <w:p w14:paraId="401D287E">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79E05FE6">
            <w:pPr>
              <w:spacing w:after="0" w:line="240" w:lineRule="auto"/>
              <w:jc w:val="left"/>
            </w:pPr>
          </w:p>
        </w:tc>
      </w:tr>
      <w:tr w14:paraId="44AA6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8E99726">
            <w:pPr>
              <w:spacing w:after="0" w:line="240" w:lineRule="auto"/>
              <w:jc w:val="center"/>
            </w:pPr>
            <w:r>
              <w:rPr>
                <w:rFonts w:ascii="仿宋_GB2312" w:hAnsi="仿宋_GB2312" w:eastAsia="仿宋_GB2312"/>
                <w:b w:val="0"/>
                <w:sz w:val="18"/>
              </w:rPr>
              <w:t>4</w:t>
            </w:r>
          </w:p>
        </w:tc>
        <w:tc>
          <w:tcPr>
            <w:tcW w:w="10340" w:type="dxa"/>
            <w:vAlign w:val="center"/>
          </w:tcPr>
          <w:p w14:paraId="601DAE0C">
            <w:pPr>
              <w:spacing w:after="0" w:line="240" w:lineRule="auto"/>
              <w:rPr>
                <w:rFonts w:hint="eastAsia" w:eastAsia="仿宋_GB2312"/>
                <w:lang w:eastAsia="zh-CN"/>
              </w:rPr>
            </w:pPr>
            <w:r>
              <w:rPr>
                <w:rFonts w:ascii="仿宋_GB2312" w:hAnsi="仿宋_GB2312" w:eastAsia="仿宋_GB2312"/>
                <w:b w:val="0"/>
                <w:sz w:val="18"/>
              </w:rPr>
              <w:t>不设置带外廊的户型</w:t>
            </w:r>
            <w:r>
              <w:rPr>
                <w:rFonts w:hint="eastAsia" w:ascii="仿宋_GB2312" w:hAnsi="仿宋_GB2312" w:eastAsia="仿宋_GB2312"/>
                <w:b w:val="0"/>
                <w:sz w:val="18"/>
                <w:lang w:eastAsia="zh-CN"/>
              </w:rPr>
              <w:t>。</w:t>
            </w:r>
          </w:p>
        </w:tc>
        <w:tc>
          <w:tcPr>
            <w:tcW w:w="1619" w:type="dxa"/>
            <w:vAlign w:val="center"/>
          </w:tcPr>
          <w:p w14:paraId="5478B929">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2AE91225">
            <w:pPr>
              <w:spacing w:after="0" w:line="240" w:lineRule="auto"/>
              <w:jc w:val="left"/>
            </w:pPr>
          </w:p>
        </w:tc>
      </w:tr>
      <w:tr w14:paraId="5521C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294F3AA">
            <w:pPr>
              <w:spacing w:after="0" w:line="240" w:lineRule="auto"/>
              <w:jc w:val="center"/>
            </w:pPr>
            <w:r>
              <w:rPr>
                <w:rFonts w:ascii="仿宋_GB2312" w:hAnsi="仿宋_GB2312" w:eastAsia="仿宋_GB2312"/>
                <w:b w:val="0"/>
                <w:sz w:val="18"/>
              </w:rPr>
              <w:t>5</w:t>
            </w:r>
          </w:p>
        </w:tc>
        <w:tc>
          <w:tcPr>
            <w:tcW w:w="10340" w:type="dxa"/>
            <w:vAlign w:val="center"/>
          </w:tcPr>
          <w:p w14:paraId="779B0274">
            <w:pPr>
              <w:spacing w:after="0" w:line="240" w:lineRule="auto"/>
              <w:rPr>
                <w:rFonts w:hint="eastAsia" w:eastAsia="仿宋_GB2312"/>
                <w:lang w:eastAsia="zh-CN"/>
              </w:rPr>
            </w:pPr>
            <w:r>
              <w:rPr>
                <w:rFonts w:ascii="仿宋_GB2312" w:hAnsi="仿宋_GB2312" w:eastAsia="仿宋_GB2312"/>
                <w:b w:val="0"/>
                <w:sz w:val="18"/>
              </w:rPr>
              <w:t>户内窗户应采用增加限位器等措施限制开启角度</w:t>
            </w:r>
            <w:r>
              <w:rPr>
                <w:rFonts w:hint="eastAsia" w:ascii="仿宋_GB2312" w:hAnsi="仿宋_GB2312" w:eastAsia="仿宋_GB2312"/>
                <w:b w:val="0"/>
                <w:sz w:val="18"/>
                <w:lang w:eastAsia="zh-CN"/>
              </w:rPr>
              <w:t>。</w:t>
            </w:r>
          </w:p>
        </w:tc>
        <w:tc>
          <w:tcPr>
            <w:tcW w:w="1619" w:type="dxa"/>
            <w:vAlign w:val="center"/>
          </w:tcPr>
          <w:p w14:paraId="7486418E">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06A2BEDD">
            <w:pPr>
              <w:spacing w:after="0" w:line="240" w:lineRule="auto"/>
              <w:jc w:val="left"/>
            </w:pPr>
            <w:r>
              <w:rPr>
                <w:rFonts w:hint="eastAsia" w:ascii="仿宋_GB2312" w:hAnsi="仿宋_GB2312" w:eastAsia="仿宋_GB2312"/>
                <w:b w:val="0"/>
                <w:sz w:val="18"/>
                <w:lang w:val="en-US" w:eastAsia="zh-CN"/>
              </w:rPr>
              <w:t>满足1项</w:t>
            </w:r>
            <w:r>
              <w:rPr>
                <w:rFonts w:hint="eastAsia" w:ascii="仿宋_GB2312" w:hAnsi="仿宋_GB2312" w:eastAsia="仿宋_GB2312"/>
                <w:b w:val="0"/>
                <w:sz w:val="18"/>
                <w:lang w:val="en-US" w:eastAsia="zh"/>
              </w:rPr>
              <w:t>3</w:t>
            </w:r>
            <w:r>
              <w:rPr>
                <w:rFonts w:hint="eastAsia" w:ascii="仿宋_GB2312" w:hAnsi="仿宋_GB2312" w:eastAsia="仿宋_GB2312"/>
                <w:b w:val="0"/>
                <w:sz w:val="18"/>
                <w:lang w:val="en-US" w:eastAsia="zh-CN"/>
              </w:rPr>
              <w:t>分，满足2项</w:t>
            </w:r>
            <w:r>
              <w:rPr>
                <w:rFonts w:hint="eastAsia" w:ascii="仿宋_GB2312" w:hAnsi="仿宋_GB2312" w:eastAsia="仿宋_GB2312"/>
                <w:b w:val="0"/>
                <w:sz w:val="18"/>
                <w:lang w:val="en-US" w:eastAsia="zh"/>
              </w:rPr>
              <w:t>6</w:t>
            </w:r>
            <w:r>
              <w:rPr>
                <w:rFonts w:hint="eastAsia" w:ascii="仿宋_GB2312" w:hAnsi="仿宋_GB2312" w:eastAsia="仿宋_GB2312"/>
                <w:b w:val="0"/>
                <w:sz w:val="18"/>
                <w:lang w:val="en-US" w:eastAsia="zh-CN"/>
              </w:rPr>
              <w:t>分</w:t>
            </w:r>
          </w:p>
        </w:tc>
      </w:tr>
      <w:tr w14:paraId="4265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4089D90">
            <w:pPr>
              <w:spacing w:after="0" w:line="240" w:lineRule="auto"/>
              <w:jc w:val="center"/>
            </w:pPr>
            <w:r>
              <w:rPr>
                <w:rFonts w:ascii="仿宋_GB2312" w:hAnsi="仿宋_GB2312" w:eastAsia="仿宋_GB2312"/>
                <w:b w:val="0"/>
                <w:sz w:val="18"/>
              </w:rPr>
              <w:t>6</w:t>
            </w:r>
          </w:p>
        </w:tc>
        <w:tc>
          <w:tcPr>
            <w:tcW w:w="10340" w:type="dxa"/>
            <w:vAlign w:val="center"/>
          </w:tcPr>
          <w:p w14:paraId="473F0274">
            <w:pPr>
              <w:spacing w:after="0" w:line="240" w:lineRule="auto"/>
              <w:rPr>
                <w:rFonts w:hint="eastAsia" w:eastAsia="仿宋_GB2312"/>
                <w:lang w:eastAsia="zh-CN"/>
              </w:rPr>
            </w:pPr>
            <w:r>
              <w:rPr>
                <w:rFonts w:ascii="仿宋_GB2312" w:hAnsi="仿宋_GB2312" w:eastAsia="仿宋_GB2312"/>
                <w:b w:val="0"/>
                <w:sz w:val="18"/>
              </w:rPr>
              <w:t>走廊、疏散通道等通行空间消火栓暗装设置</w:t>
            </w:r>
            <w:r>
              <w:rPr>
                <w:rFonts w:hint="eastAsia" w:ascii="仿宋_GB2312" w:hAnsi="仿宋_GB2312" w:eastAsia="仿宋_GB2312"/>
                <w:b w:val="0"/>
                <w:sz w:val="18"/>
                <w:lang w:eastAsia="zh-CN"/>
              </w:rPr>
              <w:t>。</w:t>
            </w:r>
          </w:p>
        </w:tc>
        <w:tc>
          <w:tcPr>
            <w:tcW w:w="1619" w:type="dxa"/>
            <w:vAlign w:val="center"/>
          </w:tcPr>
          <w:p w14:paraId="4AB0C71F">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881851A">
            <w:pPr>
              <w:spacing w:after="0" w:line="240" w:lineRule="auto"/>
              <w:jc w:val="left"/>
            </w:pPr>
          </w:p>
        </w:tc>
      </w:tr>
      <w:tr w14:paraId="345C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6577B39">
            <w:pPr>
              <w:spacing w:after="0" w:line="240" w:lineRule="auto"/>
              <w:jc w:val="center"/>
            </w:pPr>
            <w:r>
              <w:rPr>
                <w:rFonts w:ascii="仿宋_GB2312" w:hAnsi="仿宋_GB2312" w:eastAsia="仿宋_GB2312"/>
                <w:b w:val="0"/>
                <w:sz w:val="18"/>
              </w:rPr>
              <w:t>7</w:t>
            </w:r>
          </w:p>
        </w:tc>
        <w:tc>
          <w:tcPr>
            <w:tcW w:w="10340" w:type="dxa"/>
            <w:vAlign w:val="center"/>
          </w:tcPr>
          <w:p w14:paraId="1DEE3334">
            <w:pPr>
              <w:spacing w:after="0" w:line="240" w:lineRule="auto"/>
              <w:rPr>
                <w:rFonts w:hint="eastAsia" w:eastAsia="仿宋_GB2312"/>
                <w:lang w:eastAsia="zh-CN"/>
              </w:rPr>
            </w:pPr>
            <w:r>
              <w:rPr>
                <w:rFonts w:ascii="仿宋_GB2312" w:hAnsi="仿宋_GB2312" w:eastAsia="仿宋_GB2312"/>
                <w:b w:val="0"/>
                <w:sz w:val="18"/>
              </w:rPr>
              <w:t>建筑结构耐久设计年限≥70年，宜提升至100年</w:t>
            </w:r>
            <w:r>
              <w:rPr>
                <w:rFonts w:hint="eastAsia" w:ascii="仿宋_GB2312" w:hAnsi="仿宋_GB2312" w:eastAsia="仿宋_GB2312"/>
                <w:b w:val="0"/>
                <w:sz w:val="18"/>
                <w:lang w:eastAsia="zh-CN"/>
              </w:rPr>
              <w:t>。</w:t>
            </w:r>
          </w:p>
        </w:tc>
        <w:tc>
          <w:tcPr>
            <w:tcW w:w="1619" w:type="dxa"/>
            <w:vAlign w:val="center"/>
          </w:tcPr>
          <w:p w14:paraId="1A83D47B">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2D2D2A6B">
            <w:pPr>
              <w:spacing w:after="0" w:line="240" w:lineRule="auto"/>
              <w:jc w:val="left"/>
            </w:pPr>
            <w:r>
              <w:rPr>
                <w:rFonts w:hint="eastAsia" w:ascii="仿宋_GB2312" w:hAnsi="仿宋_GB2312" w:eastAsia="仿宋_GB2312"/>
                <w:b w:val="0"/>
                <w:sz w:val="18"/>
                <w:lang w:val="en-US" w:eastAsia="zh-CN"/>
              </w:rPr>
              <w:t>满足3项10分，满足6项20分，满足8项30分</w:t>
            </w:r>
          </w:p>
        </w:tc>
      </w:tr>
      <w:tr w14:paraId="0861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108019A">
            <w:pPr>
              <w:spacing w:after="0" w:line="240" w:lineRule="auto"/>
              <w:jc w:val="center"/>
            </w:pPr>
            <w:r>
              <w:rPr>
                <w:rFonts w:ascii="仿宋_GB2312" w:hAnsi="仿宋_GB2312" w:eastAsia="仿宋_GB2312"/>
                <w:b w:val="0"/>
                <w:sz w:val="18"/>
              </w:rPr>
              <w:t>8</w:t>
            </w:r>
          </w:p>
        </w:tc>
        <w:tc>
          <w:tcPr>
            <w:tcW w:w="10340" w:type="dxa"/>
            <w:vAlign w:val="center"/>
          </w:tcPr>
          <w:p w14:paraId="29F69D5B">
            <w:pPr>
              <w:spacing w:after="0" w:line="240" w:lineRule="auto"/>
              <w:rPr>
                <w:rFonts w:hint="eastAsia" w:eastAsia="仿宋_GB2312"/>
                <w:lang w:eastAsia="zh-CN"/>
              </w:rPr>
            </w:pPr>
            <w:r>
              <w:rPr>
                <w:rFonts w:ascii="仿宋_GB2312" w:hAnsi="仿宋_GB2312" w:eastAsia="仿宋_GB2312"/>
                <w:b w:val="0"/>
                <w:sz w:val="18"/>
              </w:rPr>
              <w:t>抗震设防烈度7度及以上地区，抗震构造措施达到8度设防要求，并采用减隔震技术</w:t>
            </w:r>
            <w:r>
              <w:rPr>
                <w:rFonts w:hint="eastAsia" w:ascii="仿宋_GB2312" w:hAnsi="仿宋_GB2312" w:eastAsia="仿宋_GB2312"/>
                <w:b w:val="0"/>
                <w:sz w:val="18"/>
                <w:lang w:eastAsia="zh-CN"/>
              </w:rPr>
              <w:t>。</w:t>
            </w:r>
          </w:p>
        </w:tc>
        <w:tc>
          <w:tcPr>
            <w:tcW w:w="1619" w:type="dxa"/>
            <w:vAlign w:val="center"/>
          </w:tcPr>
          <w:p w14:paraId="1A79471E">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03422A84">
            <w:pPr>
              <w:spacing w:after="0" w:line="240" w:lineRule="auto"/>
              <w:jc w:val="left"/>
            </w:pPr>
          </w:p>
        </w:tc>
      </w:tr>
      <w:tr w14:paraId="2961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D72134B">
            <w:pPr>
              <w:spacing w:after="0" w:line="240" w:lineRule="auto"/>
              <w:jc w:val="center"/>
            </w:pPr>
            <w:r>
              <w:rPr>
                <w:rFonts w:ascii="仿宋_GB2312" w:hAnsi="仿宋_GB2312" w:eastAsia="仿宋_GB2312"/>
                <w:b w:val="0"/>
                <w:sz w:val="18"/>
              </w:rPr>
              <w:t>9</w:t>
            </w:r>
          </w:p>
        </w:tc>
        <w:tc>
          <w:tcPr>
            <w:tcW w:w="10340" w:type="dxa"/>
            <w:vAlign w:val="center"/>
          </w:tcPr>
          <w:p w14:paraId="20707ABA">
            <w:pPr>
              <w:spacing w:after="0" w:line="240" w:lineRule="auto"/>
              <w:rPr>
                <w:rFonts w:hint="eastAsia" w:eastAsia="仿宋_GB2312"/>
                <w:lang w:eastAsia="zh-CN"/>
              </w:rPr>
            </w:pPr>
            <w:r>
              <w:rPr>
                <w:rFonts w:ascii="仿宋_GB2312" w:hAnsi="仿宋_GB2312" w:eastAsia="仿宋_GB2312"/>
                <w:b w:val="0"/>
                <w:sz w:val="18"/>
              </w:rPr>
              <w:t>竖向承重构件的布置应便于居室功能的灵活调整</w:t>
            </w:r>
            <w:r>
              <w:rPr>
                <w:rFonts w:hint="eastAsia" w:ascii="仿宋_GB2312" w:hAnsi="仿宋_GB2312" w:eastAsia="仿宋_GB2312"/>
                <w:b w:val="0"/>
                <w:sz w:val="18"/>
                <w:lang w:eastAsia="zh-CN"/>
              </w:rPr>
              <w:t>。</w:t>
            </w:r>
          </w:p>
        </w:tc>
        <w:tc>
          <w:tcPr>
            <w:tcW w:w="1619" w:type="dxa"/>
            <w:vAlign w:val="center"/>
          </w:tcPr>
          <w:p w14:paraId="3BA447C7">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50E72499">
            <w:pPr>
              <w:spacing w:after="0" w:line="240" w:lineRule="auto"/>
              <w:jc w:val="left"/>
            </w:pPr>
          </w:p>
        </w:tc>
      </w:tr>
      <w:tr w14:paraId="061A6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D2F3533">
            <w:pPr>
              <w:spacing w:after="0" w:line="240" w:lineRule="auto"/>
              <w:jc w:val="center"/>
            </w:pPr>
            <w:r>
              <w:rPr>
                <w:rFonts w:ascii="仿宋_GB2312" w:hAnsi="仿宋_GB2312" w:eastAsia="仿宋_GB2312"/>
                <w:b w:val="0"/>
                <w:sz w:val="18"/>
              </w:rPr>
              <w:t>10</w:t>
            </w:r>
          </w:p>
        </w:tc>
        <w:tc>
          <w:tcPr>
            <w:tcW w:w="10340" w:type="dxa"/>
            <w:vAlign w:val="center"/>
          </w:tcPr>
          <w:p w14:paraId="5155E20D">
            <w:pPr>
              <w:spacing w:after="0" w:line="240" w:lineRule="auto"/>
              <w:rPr>
                <w:rFonts w:hint="eastAsia" w:eastAsia="仿宋_GB2312"/>
                <w:lang w:eastAsia="zh-CN"/>
              </w:rPr>
            </w:pPr>
            <w:r>
              <w:rPr>
                <w:rFonts w:ascii="仿宋_GB2312" w:hAnsi="仿宋_GB2312" w:eastAsia="仿宋_GB2312"/>
                <w:b w:val="0"/>
                <w:sz w:val="18"/>
              </w:rPr>
              <w:t>梁的位置应避免布置在居室功能调整后可能外露的区域，以防影响使用体验；可变空间应尽量采用大板布置形式，并结合暗梁设计，为后续改造创造有利条件</w:t>
            </w:r>
            <w:r>
              <w:rPr>
                <w:rFonts w:hint="eastAsia" w:ascii="仿宋_GB2312" w:hAnsi="仿宋_GB2312" w:eastAsia="仿宋_GB2312"/>
                <w:b w:val="0"/>
                <w:sz w:val="18"/>
                <w:lang w:eastAsia="zh-CN"/>
              </w:rPr>
              <w:t>。</w:t>
            </w:r>
          </w:p>
        </w:tc>
        <w:tc>
          <w:tcPr>
            <w:tcW w:w="1619" w:type="dxa"/>
            <w:vAlign w:val="center"/>
          </w:tcPr>
          <w:p w14:paraId="0B0E86F6">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5E75EDCA">
            <w:pPr>
              <w:spacing w:after="0" w:line="240" w:lineRule="auto"/>
              <w:jc w:val="left"/>
            </w:pPr>
          </w:p>
        </w:tc>
      </w:tr>
      <w:tr w14:paraId="529C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0" w:type="dxa"/>
            <w:vAlign w:val="center"/>
          </w:tcPr>
          <w:p w14:paraId="47A1691C">
            <w:pPr>
              <w:spacing w:after="0" w:line="240" w:lineRule="auto"/>
              <w:jc w:val="center"/>
              <w:rPr>
                <w:rFonts w:hint="eastAsia" w:eastAsia="仿宋_GB2312"/>
                <w:lang w:eastAsia="zh-CN"/>
              </w:rPr>
            </w:pPr>
            <w:r>
              <w:rPr>
                <w:rFonts w:ascii="仿宋_GB2312" w:hAnsi="仿宋_GB2312" w:eastAsia="仿宋_GB2312"/>
                <w:b w:val="0"/>
                <w:sz w:val="18"/>
              </w:rPr>
              <w:t>1</w:t>
            </w:r>
            <w:r>
              <w:rPr>
                <w:rFonts w:hint="eastAsia" w:ascii="仿宋_GB2312" w:hAnsi="仿宋_GB2312" w:eastAsia="仿宋_GB2312"/>
                <w:b w:val="0"/>
                <w:sz w:val="18"/>
                <w:lang w:val="en-US" w:eastAsia="zh-CN"/>
              </w:rPr>
              <w:t>1</w:t>
            </w:r>
          </w:p>
        </w:tc>
        <w:tc>
          <w:tcPr>
            <w:tcW w:w="10340" w:type="dxa"/>
            <w:vAlign w:val="center"/>
          </w:tcPr>
          <w:p w14:paraId="3BB717DE">
            <w:pPr>
              <w:spacing w:after="0" w:line="240" w:lineRule="auto"/>
              <w:rPr>
                <w:rFonts w:hint="eastAsia" w:eastAsia="仿宋_GB2312"/>
                <w:lang w:eastAsia="zh-CN"/>
              </w:rPr>
            </w:pPr>
            <w:r>
              <w:rPr>
                <w:rFonts w:ascii="仿宋_GB2312" w:hAnsi="仿宋_GB2312" w:eastAsia="仿宋_GB2312"/>
                <w:b w:val="0"/>
                <w:sz w:val="18"/>
              </w:rPr>
              <w:t>采用钢结构时，梁、柱、支撑等构件应实现标准化、模数化与编码化</w:t>
            </w:r>
            <w:r>
              <w:rPr>
                <w:rFonts w:hint="eastAsia" w:ascii="仿宋_GB2312" w:hAnsi="仿宋_GB2312" w:eastAsia="仿宋_GB2312"/>
                <w:b w:val="0"/>
                <w:sz w:val="18"/>
                <w:lang w:eastAsia="zh-CN"/>
              </w:rPr>
              <w:t>。</w:t>
            </w:r>
          </w:p>
        </w:tc>
        <w:tc>
          <w:tcPr>
            <w:tcW w:w="1619" w:type="dxa"/>
            <w:vAlign w:val="center"/>
          </w:tcPr>
          <w:p w14:paraId="39F25500">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3C348ACA">
            <w:pPr>
              <w:spacing w:after="0" w:line="240" w:lineRule="auto"/>
              <w:jc w:val="left"/>
            </w:pPr>
          </w:p>
        </w:tc>
      </w:tr>
      <w:tr w14:paraId="184E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850" w:type="dxa"/>
            <w:vAlign w:val="center"/>
          </w:tcPr>
          <w:p w14:paraId="694758B1">
            <w:pPr>
              <w:spacing w:after="0" w:line="240" w:lineRule="auto"/>
              <w:jc w:val="center"/>
              <w:rPr>
                <w:rFonts w:hint="eastAsia" w:eastAsia="仿宋_GB2312"/>
                <w:lang w:eastAsia="zh-CN"/>
              </w:rPr>
            </w:pPr>
            <w:r>
              <w:rPr>
                <w:rFonts w:ascii="仿宋_GB2312" w:hAnsi="仿宋_GB2312" w:eastAsia="仿宋_GB2312"/>
                <w:b w:val="0"/>
                <w:sz w:val="18"/>
              </w:rPr>
              <w:t>1</w:t>
            </w:r>
            <w:r>
              <w:rPr>
                <w:rFonts w:hint="eastAsia" w:ascii="仿宋_GB2312" w:hAnsi="仿宋_GB2312" w:eastAsia="仿宋_GB2312"/>
                <w:b w:val="0"/>
                <w:sz w:val="18"/>
                <w:lang w:val="en-US" w:eastAsia="zh-CN"/>
              </w:rPr>
              <w:t>2</w:t>
            </w:r>
          </w:p>
        </w:tc>
        <w:tc>
          <w:tcPr>
            <w:tcW w:w="10340" w:type="dxa"/>
            <w:vAlign w:val="center"/>
          </w:tcPr>
          <w:p w14:paraId="5AB6A578">
            <w:pPr>
              <w:spacing w:after="0" w:line="240" w:lineRule="auto"/>
              <w:rPr>
                <w:rFonts w:hint="eastAsia" w:eastAsia="仿宋_GB2312"/>
                <w:lang w:eastAsia="zh-CN"/>
              </w:rPr>
            </w:pPr>
            <w:r>
              <w:rPr>
                <w:rFonts w:ascii="仿宋_GB2312" w:hAnsi="仿宋_GB2312" w:eastAsia="仿宋_GB2312"/>
                <w:b w:val="0"/>
                <w:sz w:val="18"/>
              </w:rPr>
              <w:t>钢筋混凝土结构住宅采用高精度模板、叠合楼板、装配式墙板等装配式建筑技术</w:t>
            </w:r>
            <w:r>
              <w:rPr>
                <w:rFonts w:hint="eastAsia" w:ascii="仿宋_GB2312" w:hAnsi="仿宋_GB2312" w:eastAsia="仿宋_GB2312"/>
                <w:b w:val="0"/>
                <w:sz w:val="18"/>
                <w:lang w:eastAsia="zh-CN"/>
              </w:rPr>
              <w:t>。</w:t>
            </w:r>
          </w:p>
        </w:tc>
        <w:tc>
          <w:tcPr>
            <w:tcW w:w="1619" w:type="dxa"/>
            <w:vAlign w:val="center"/>
          </w:tcPr>
          <w:p w14:paraId="4311500D">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33869425">
            <w:pPr>
              <w:spacing w:after="0" w:line="240" w:lineRule="auto"/>
              <w:jc w:val="left"/>
            </w:pPr>
          </w:p>
        </w:tc>
      </w:tr>
      <w:tr w14:paraId="1DED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D828CD7">
            <w:pPr>
              <w:spacing w:after="0" w:line="240" w:lineRule="auto"/>
              <w:jc w:val="center"/>
              <w:rPr>
                <w:rFonts w:hint="eastAsia" w:eastAsia="仿宋_GB2312"/>
                <w:lang w:eastAsia="zh-CN"/>
              </w:rPr>
            </w:pPr>
            <w:r>
              <w:rPr>
                <w:rFonts w:ascii="仿宋_GB2312" w:hAnsi="仿宋_GB2312" w:eastAsia="仿宋_GB2312"/>
                <w:b w:val="0"/>
                <w:sz w:val="18"/>
              </w:rPr>
              <w:t>1</w:t>
            </w:r>
            <w:r>
              <w:rPr>
                <w:rFonts w:hint="eastAsia" w:ascii="仿宋_GB2312" w:hAnsi="仿宋_GB2312" w:eastAsia="仿宋_GB2312"/>
                <w:b w:val="0"/>
                <w:sz w:val="18"/>
                <w:lang w:val="en-US" w:eastAsia="zh-CN"/>
              </w:rPr>
              <w:t>3</w:t>
            </w:r>
          </w:p>
        </w:tc>
        <w:tc>
          <w:tcPr>
            <w:tcW w:w="10340" w:type="dxa"/>
            <w:vAlign w:val="center"/>
          </w:tcPr>
          <w:p w14:paraId="30EDA63A">
            <w:pPr>
              <w:spacing w:after="0" w:line="240" w:lineRule="auto"/>
              <w:rPr>
                <w:rFonts w:hint="eastAsia" w:eastAsia="仿宋_GB2312"/>
                <w:lang w:eastAsia="zh-CN"/>
              </w:rPr>
            </w:pPr>
            <w:r>
              <w:rPr>
                <w:rFonts w:ascii="仿宋_GB2312" w:hAnsi="仿宋_GB2312" w:eastAsia="仿宋_GB2312"/>
                <w:b w:val="0"/>
                <w:sz w:val="18"/>
              </w:rPr>
              <w:t>结构布置方案应尽量避免室内出现露梁露柱的情况；大堂顶部及电梯厅上空不得露梁，以确保顶部空间的完整性；通窗位置则不应有梁或柱穿越</w:t>
            </w:r>
            <w:r>
              <w:rPr>
                <w:rFonts w:hint="eastAsia" w:ascii="仿宋_GB2312" w:hAnsi="仿宋_GB2312" w:eastAsia="仿宋_GB2312"/>
                <w:b w:val="0"/>
                <w:sz w:val="18"/>
                <w:lang w:eastAsia="zh-CN"/>
              </w:rPr>
              <w:t>。</w:t>
            </w:r>
          </w:p>
        </w:tc>
        <w:tc>
          <w:tcPr>
            <w:tcW w:w="1619" w:type="dxa"/>
            <w:vAlign w:val="center"/>
          </w:tcPr>
          <w:p w14:paraId="1A2D5625">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48D6954D">
            <w:pPr>
              <w:spacing w:after="0" w:line="240" w:lineRule="auto"/>
              <w:jc w:val="left"/>
            </w:pPr>
          </w:p>
        </w:tc>
      </w:tr>
      <w:tr w14:paraId="7A37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F1CAC3A">
            <w:pPr>
              <w:spacing w:after="0" w:line="240" w:lineRule="auto"/>
              <w:jc w:val="center"/>
              <w:rPr>
                <w:rFonts w:hint="eastAsia" w:eastAsia="仿宋_GB2312"/>
                <w:lang w:eastAsia="zh-CN"/>
              </w:rPr>
            </w:pPr>
            <w:r>
              <w:rPr>
                <w:rFonts w:ascii="仿宋_GB2312" w:hAnsi="仿宋_GB2312" w:eastAsia="仿宋_GB2312"/>
                <w:b w:val="0"/>
                <w:sz w:val="18"/>
              </w:rPr>
              <w:t>1</w:t>
            </w:r>
            <w:r>
              <w:rPr>
                <w:rFonts w:hint="eastAsia" w:ascii="仿宋_GB2312" w:hAnsi="仿宋_GB2312" w:eastAsia="仿宋_GB2312"/>
                <w:b w:val="0"/>
                <w:sz w:val="18"/>
                <w:lang w:val="en-US" w:eastAsia="zh-CN"/>
              </w:rPr>
              <w:t>4</w:t>
            </w:r>
          </w:p>
        </w:tc>
        <w:tc>
          <w:tcPr>
            <w:tcW w:w="10340" w:type="dxa"/>
            <w:vAlign w:val="center"/>
          </w:tcPr>
          <w:p w14:paraId="3C528507">
            <w:pPr>
              <w:spacing w:after="0" w:line="240" w:lineRule="auto"/>
              <w:rPr>
                <w:rFonts w:hint="eastAsia" w:eastAsia="仿宋_GB2312"/>
                <w:lang w:eastAsia="zh-CN"/>
              </w:rPr>
            </w:pPr>
            <w:r>
              <w:rPr>
                <w:rFonts w:ascii="仿宋_GB2312" w:hAnsi="仿宋_GB2312" w:eastAsia="仿宋_GB2312"/>
                <w:b w:val="0"/>
                <w:sz w:val="18"/>
              </w:rPr>
              <w:t>无地下室的建筑室内地坪采用钢筋混凝土楼板</w:t>
            </w:r>
            <w:r>
              <w:rPr>
                <w:rFonts w:hint="eastAsia" w:ascii="仿宋_GB2312" w:hAnsi="仿宋_GB2312" w:eastAsia="仿宋_GB2312"/>
                <w:b w:val="0"/>
                <w:sz w:val="18"/>
                <w:lang w:eastAsia="zh-CN"/>
              </w:rPr>
              <w:t>。</w:t>
            </w:r>
          </w:p>
        </w:tc>
        <w:tc>
          <w:tcPr>
            <w:tcW w:w="1619" w:type="dxa"/>
            <w:vAlign w:val="center"/>
          </w:tcPr>
          <w:p w14:paraId="4DE4F2F0">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11D1277F">
            <w:pPr>
              <w:spacing w:after="0" w:line="240" w:lineRule="auto"/>
              <w:jc w:val="left"/>
            </w:pPr>
          </w:p>
        </w:tc>
      </w:tr>
      <w:tr w14:paraId="0F51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CA675F4">
            <w:pPr>
              <w:spacing w:after="0" w:line="240" w:lineRule="auto"/>
              <w:jc w:val="center"/>
              <w:rPr>
                <w:rFonts w:hint="eastAsia" w:eastAsia="仿宋_GB2312"/>
                <w:lang w:eastAsia="zh-CN"/>
              </w:rPr>
            </w:pPr>
            <w:r>
              <w:rPr>
                <w:rFonts w:ascii="仿宋_GB2312" w:hAnsi="仿宋_GB2312" w:eastAsia="仿宋_GB2312"/>
                <w:b w:val="0"/>
                <w:sz w:val="18"/>
              </w:rPr>
              <w:t>1</w:t>
            </w:r>
            <w:r>
              <w:rPr>
                <w:rFonts w:hint="eastAsia" w:ascii="仿宋_GB2312" w:hAnsi="仿宋_GB2312" w:eastAsia="仿宋_GB2312"/>
                <w:b w:val="0"/>
                <w:sz w:val="18"/>
                <w:lang w:val="en-US" w:eastAsia="zh-CN"/>
              </w:rPr>
              <w:t>5</w:t>
            </w:r>
          </w:p>
        </w:tc>
        <w:tc>
          <w:tcPr>
            <w:tcW w:w="10340" w:type="dxa"/>
            <w:vAlign w:val="center"/>
          </w:tcPr>
          <w:p w14:paraId="1C603670">
            <w:pPr>
              <w:spacing w:after="0" w:line="240" w:lineRule="auto"/>
              <w:rPr>
                <w:rFonts w:hint="eastAsia" w:eastAsia="仿宋_GB2312"/>
                <w:lang w:eastAsia="zh-CN"/>
              </w:rPr>
            </w:pPr>
            <w:r>
              <w:rPr>
                <w:rFonts w:ascii="仿宋_GB2312" w:hAnsi="仿宋_GB2312" w:eastAsia="仿宋_GB2312"/>
                <w:b w:val="0"/>
                <w:sz w:val="18"/>
              </w:rPr>
              <w:t>燃气引入管不在套内水平敷设</w:t>
            </w:r>
            <w:r>
              <w:rPr>
                <w:rFonts w:hint="eastAsia" w:ascii="仿宋_GB2312" w:hAnsi="仿宋_GB2312" w:eastAsia="仿宋_GB2312"/>
                <w:b w:val="0"/>
                <w:sz w:val="18"/>
                <w:lang w:eastAsia="zh-CN"/>
              </w:rPr>
              <w:t>。</w:t>
            </w:r>
          </w:p>
        </w:tc>
        <w:tc>
          <w:tcPr>
            <w:tcW w:w="1619" w:type="dxa"/>
            <w:vAlign w:val="center"/>
          </w:tcPr>
          <w:p w14:paraId="1380DF4B">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7B3724A2">
            <w:pPr>
              <w:spacing w:after="0" w:line="240" w:lineRule="auto"/>
              <w:jc w:val="left"/>
            </w:pPr>
            <w:r>
              <w:rPr>
                <w:rFonts w:hint="eastAsia" w:ascii="仿宋_GB2312" w:hAnsi="仿宋_GB2312" w:eastAsia="仿宋_GB2312"/>
                <w:b w:val="0"/>
                <w:sz w:val="18"/>
                <w:lang w:val="en-US" w:eastAsia="zh-CN"/>
              </w:rPr>
              <w:t>满足1项5分，满足2项以上1</w:t>
            </w:r>
            <w:r>
              <w:rPr>
                <w:rFonts w:hint="eastAsia" w:ascii="仿宋_GB2312" w:hAnsi="仿宋_GB2312" w:eastAsia="仿宋_GB2312"/>
                <w:b w:val="0"/>
                <w:sz w:val="18"/>
                <w:lang w:val="en-US" w:eastAsia="zh"/>
              </w:rPr>
              <w:t>2</w:t>
            </w:r>
            <w:r>
              <w:rPr>
                <w:rFonts w:hint="eastAsia" w:ascii="仿宋_GB2312" w:hAnsi="仿宋_GB2312" w:eastAsia="仿宋_GB2312"/>
                <w:b w:val="0"/>
                <w:sz w:val="18"/>
                <w:lang w:val="en-US" w:eastAsia="zh-CN"/>
              </w:rPr>
              <w:t>分</w:t>
            </w:r>
          </w:p>
        </w:tc>
      </w:tr>
      <w:tr w14:paraId="26E8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C8833D1">
            <w:pPr>
              <w:spacing w:after="0" w:line="240" w:lineRule="auto"/>
              <w:jc w:val="center"/>
              <w:rPr>
                <w:rFonts w:hint="eastAsia" w:eastAsia="仿宋_GB2312"/>
                <w:lang w:eastAsia="zh-CN"/>
              </w:rPr>
            </w:pPr>
            <w:r>
              <w:rPr>
                <w:rFonts w:ascii="仿宋_GB2312" w:hAnsi="仿宋_GB2312" w:eastAsia="仿宋_GB2312"/>
                <w:b w:val="0"/>
                <w:sz w:val="18"/>
              </w:rPr>
              <w:t>1</w:t>
            </w:r>
            <w:r>
              <w:rPr>
                <w:rFonts w:hint="eastAsia" w:ascii="仿宋_GB2312" w:hAnsi="仿宋_GB2312" w:eastAsia="仿宋_GB2312"/>
                <w:b w:val="0"/>
                <w:sz w:val="18"/>
                <w:lang w:val="en-US" w:eastAsia="zh-CN"/>
              </w:rPr>
              <w:t>6</w:t>
            </w:r>
          </w:p>
        </w:tc>
        <w:tc>
          <w:tcPr>
            <w:tcW w:w="10340" w:type="dxa"/>
            <w:vAlign w:val="center"/>
          </w:tcPr>
          <w:p w14:paraId="488654FD">
            <w:pPr>
              <w:spacing w:after="0" w:line="240" w:lineRule="auto"/>
              <w:rPr>
                <w:rFonts w:hint="eastAsia" w:eastAsia="仿宋_GB2312"/>
                <w:lang w:eastAsia="zh-CN"/>
              </w:rPr>
            </w:pPr>
            <w:r>
              <w:rPr>
                <w:rFonts w:ascii="仿宋_GB2312" w:hAnsi="仿宋_GB2312" w:eastAsia="仿宋_GB2312"/>
                <w:b w:val="0"/>
                <w:sz w:val="18"/>
              </w:rPr>
              <w:t>厨房等有燃气设备使用的房间设置燃气泄漏报警装置，报警信号接入室内对讲分机</w:t>
            </w:r>
            <w:r>
              <w:rPr>
                <w:rFonts w:hint="eastAsia" w:ascii="仿宋_GB2312" w:hAnsi="仿宋_GB2312" w:eastAsia="仿宋_GB2312"/>
                <w:b w:val="0"/>
                <w:sz w:val="18"/>
                <w:lang w:eastAsia="zh-CN"/>
              </w:rPr>
              <w:t>。</w:t>
            </w:r>
          </w:p>
        </w:tc>
        <w:tc>
          <w:tcPr>
            <w:tcW w:w="1619" w:type="dxa"/>
            <w:vAlign w:val="center"/>
          </w:tcPr>
          <w:p w14:paraId="23F191C4">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351762A9">
            <w:pPr>
              <w:spacing w:after="0" w:line="240" w:lineRule="auto"/>
              <w:jc w:val="left"/>
            </w:pPr>
          </w:p>
        </w:tc>
      </w:tr>
      <w:tr w14:paraId="0CAB7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DB7CFF8">
            <w:pPr>
              <w:spacing w:after="0" w:line="240" w:lineRule="auto"/>
              <w:jc w:val="center"/>
              <w:rPr>
                <w:rFonts w:hint="eastAsia" w:eastAsia="仿宋_GB2312"/>
                <w:lang w:eastAsia="zh-CN"/>
              </w:rPr>
            </w:pPr>
            <w:r>
              <w:rPr>
                <w:rFonts w:ascii="仿宋_GB2312" w:hAnsi="仿宋_GB2312" w:eastAsia="仿宋_GB2312"/>
                <w:b w:val="0"/>
                <w:sz w:val="18"/>
              </w:rPr>
              <w:t>1</w:t>
            </w:r>
            <w:r>
              <w:rPr>
                <w:rFonts w:hint="eastAsia" w:ascii="仿宋_GB2312" w:hAnsi="仿宋_GB2312" w:eastAsia="仿宋_GB2312"/>
                <w:b w:val="0"/>
                <w:sz w:val="18"/>
                <w:lang w:val="en-US" w:eastAsia="zh-CN"/>
              </w:rPr>
              <w:t>7</w:t>
            </w:r>
          </w:p>
        </w:tc>
        <w:tc>
          <w:tcPr>
            <w:tcW w:w="10340" w:type="dxa"/>
            <w:vAlign w:val="center"/>
          </w:tcPr>
          <w:p w14:paraId="380F9049">
            <w:pPr>
              <w:spacing w:after="0" w:line="240" w:lineRule="auto"/>
              <w:rPr>
                <w:rFonts w:hint="eastAsia" w:eastAsia="仿宋_GB2312"/>
                <w:lang w:eastAsia="zh-CN"/>
              </w:rPr>
            </w:pPr>
            <w:r>
              <w:rPr>
                <w:rFonts w:ascii="仿宋_GB2312" w:hAnsi="仿宋_GB2312" w:eastAsia="仿宋_GB2312"/>
                <w:b w:val="0"/>
                <w:sz w:val="18"/>
              </w:rPr>
              <w:t>燃气泄漏报警装置联动机械手关闭燃气表前阀门</w:t>
            </w:r>
            <w:r>
              <w:rPr>
                <w:rFonts w:hint="eastAsia" w:ascii="仿宋_GB2312" w:hAnsi="仿宋_GB2312" w:eastAsia="仿宋_GB2312"/>
                <w:b w:val="0"/>
                <w:sz w:val="18"/>
                <w:lang w:eastAsia="zh-CN"/>
              </w:rPr>
              <w:t>。</w:t>
            </w:r>
          </w:p>
        </w:tc>
        <w:tc>
          <w:tcPr>
            <w:tcW w:w="1619" w:type="dxa"/>
            <w:vAlign w:val="center"/>
          </w:tcPr>
          <w:p w14:paraId="34FE3A40">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34381B13">
            <w:pPr>
              <w:spacing w:after="0" w:line="240" w:lineRule="auto"/>
              <w:jc w:val="left"/>
            </w:pPr>
          </w:p>
        </w:tc>
      </w:tr>
      <w:tr w14:paraId="7C92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2B32CDD">
            <w:pPr>
              <w:spacing w:after="0" w:line="240" w:lineRule="auto"/>
              <w:jc w:val="center"/>
              <w:rPr>
                <w:rFonts w:hint="default" w:eastAsia="宋体"/>
                <w:lang w:val="en-US" w:eastAsia="zh-CN"/>
              </w:rPr>
            </w:pPr>
            <w:r>
              <w:rPr>
                <w:rFonts w:hint="eastAsia" w:ascii="仿宋_GB2312" w:hAnsi="仿宋_GB2312" w:eastAsia="仿宋_GB2312"/>
                <w:b w:val="0"/>
                <w:sz w:val="18"/>
                <w:lang w:val="en-US" w:eastAsia="zh-CN"/>
              </w:rPr>
              <w:t>18</w:t>
            </w:r>
          </w:p>
        </w:tc>
        <w:tc>
          <w:tcPr>
            <w:tcW w:w="10340" w:type="dxa"/>
            <w:vAlign w:val="center"/>
          </w:tcPr>
          <w:p w14:paraId="583FA874">
            <w:pPr>
              <w:spacing w:after="0" w:line="240" w:lineRule="auto"/>
              <w:rPr>
                <w:rFonts w:hint="eastAsia" w:eastAsia="仿宋_GB2312"/>
                <w:lang w:eastAsia="zh-CN"/>
              </w:rPr>
            </w:pPr>
            <w:r>
              <w:rPr>
                <w:rFonts w:ascii="仿宋_GB2312" w:hAnsi="仿宋_GB2312" w:eastAsia="仿宋_GB2312"/>
                <w:b w:val="0"/>
                <w:sz w:val="18"/>
              </w:rPr>
              <w:t>楼面和地面的有釉瓷砖按现行国家标准《陶瓷砖试验方法 第7部分：有釉砖表面耐磨性的测定》GB/T 3810.7测定的耐磨性≥4级；无釉瓷砖按现行国家标准《陶瓷砖试验方法 第6部分：无釉砖耐磨深度的测定》GB/T 3810.6测定的磨坑体积≤127mm³</w:t>
            </w:r>
            <w:r>
              <w:rPr>
                <w:rFonts w:hint="eastAsia" w:ascii="仿宋_GB2312" w:hAnsi="仿宋_GB2312" w:eastAsia="仿宋_GB2312"/>
                <w:b w:val="0"/>
                <w:sz w:val="18"/>
                <w:lang w:eastAsia="zh-CN"/>
              </w:rPr>
              <w:t>。</w:t>
            </w:r>
          </w:p>
        </w:tc>
        <w:tc>
          <w:tcPr>
            <w:tcW w:w="1619" w:type="dxa"/>
            <w:vAlign w:val="center"/>
          </w:tcPr>
          <w:p w14:paraId="5693FBCF">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5A601659">
            <w:pPr>
              <w:spacing w:after="0" w:line="240" w:lineRule="auto"/>
              <w:jc w:val="left"/>
            </w:pPr>
            <w:r>
              <w:rPr>
                <w:rFonts w:hint="eastAsia" w:ascii="仿宋_GB2312" w:hAnsi="仿宋_GB2312" w:eastAsia="仿宋_GB2312"/>
                <w:b w:val="0"/>
                <w:sz w:val="18"/>
                <w:lang w:val="en-US" w:eastAsia="zh-CN"/>
              </w:rPr>
              <w:t>满足1项3分，满足2项</w:t>
            </w:r>
            <w:r>
              <w:rPr>
                <w:rFonts w:hint="eastAsia" w:ascii="仿宋_GB2312" w:hAnsi="仿宋_GB2312" w:eastAsia="仿宋_GB2312"/>
                <w:b w:val="0"/>
                <w:sz w:val="18"/>
                <w:lang w:val="en-US" w:eastAsia="zh"/>
              </w:rPr>
              <w:t>6</w:t>
            </w:r>
            <w:r>
              <w:rPr>
                <w:rFonts w:hint="eastAsia" w:ascii="仿宋_GB2312" w:hAnsi="仿宋_GB2312" w:eastAsia="仿宋_GB2312"/>
                <w:b w:val="0"/>
                <w:sz w:val="18"/>
                <w:lang w:val="en-US" w:eastAsia="zh-CN"/>
              </w:rPr>
              <w:t>分</w:t>
            </w:r>
          </w:p>
        </w:tc>
      </w:tr>
      <w:tr w14:paraId="176C7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43E7590">
            <w:pPr>
              <w:spacing w:after="0" w:line="240" w:lineRule="auto"/>
              <w:jc w:val="center"/>
              <w:rPr>
                <w:rFonts w:hint="default" w:eastAsia="宋体"/>
                <w:lang w:val="en-US" w:eastAsia="zh-CN"/>
              </w:rPr>
            </w:pPr>
            <w:r>
              <w:rPr>
                <w:rFonts w:hint="eastAsia" w:ascii="仿宋_GB2312" w:hAnsi="仿宋_GB2312" w:eastAsia="仿宋_GB2312"/>
                <w:b w:val="0"/>
                <w:sz w:val="18"/>
                <w:lang w:val="en-US" w:eastAsia="zh-CN"/>
              </w:rPr>
              <w:t>19</w:t>
            </w:r>
          </w:p>
        </w:tc>
        <w:tc>
          <w:tcPr>
            <w:tcW w:w="10340" w:type="dxa"/>
            <w:vAlign w:val="center"/>
          </w:tcPr>
          <w:p w14:paraId="1D954FC4">
            <w:pPr>
              <w:spacing w:after="0" w:line="240" w:lineRule="auto"/>
              <w:rPr>
                <w:rFonts w:hint="eastAsia" w:eastAsia="仿宋_GB2312"/>
                <w:lang w:eastAsia="zh-CN"/>
              </w:rPr>
            </w:pPr>
            <w:r>
              <w:rPr>
                <w:rFonts w:ascii="仿宋_GB2312" w:hAnsi="仿宋_GB2312" w:eastAsia="仿宋_GB2312"/>
                <w:b w:val="0"/>
                <w:sz w:val="18"/>
              </w:rPr>
              <w:t>防水和密封材料的耐久性满足国家现行标准《绿色产品评价标准 防水与密封材料》GB/T 35609中耐久性的要求</w:t>
            </w:r>
            <w:r>
              <w:rPr>
                <w:rFonts w:hint="eastAsia" w:ascii="仿宋_GB2312" w:hAnsi="仿宋_GB2312" w:eastAsia="仿宋_GB2312"/>
                <w:b w:val="0"/>
                <w:sz w:val="18"/>
                <w:lang w:eastAsia="zh-CN"/>
              </w:rPr>
              <w:t>。</w:t>
            </w:r>
          </w:p>
        </w:tc>
        <w:tc>
          <w:tcPr>
            <w:tcW w:w="1619" w:type="dxa"/>
            <w:vAlign w:val="center"/>
          </w:tcPr>
          <w:p w14:paraId="61CC98D5">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38049435">
            <w:pPr>
              <w:spacing w:after="0" w:line="240" w:lineRule="auto"/>
            </w:pPr>
          </w:p>
        </w:tc>
      </w:tr>
      <w:tr w14:paraId="0F90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B850231">
            <w:pPr>
              <w:spacing w:after="0" w:line="240" w:lineRule="auto"/>
              <w:jc w:val="center"/>
              <w:rPr>
                <w:rFonts w:hint="default" w:eastAsia="宋体"/>
                <w:lang w:val="en-US" w:eastAsia="zh-CN"/>
              </w:rPr>
            </w:pPr>
            <w:r>
              <w:rPr>
                <w:rFonts w:hint="eastAsia" w:ascii="仿宋_GB2312" w:hAnsi="仿宋_GB2312" w:eastAsia="仿宋_GB2312"/>
                <w:b w:val="0"/>
                <w:sz w:val="18"/>
                <w:lang w:val="en-US" w:eastAsia="zh-CN"/>
              </w:rPr>
              <w:t>20</w:t>
            </w:r>
          </w:p>
        </w:tc>
        <w:tc>
          <w:tcPr>
            <w:tcW w:w="10340" w:type="dxa"/>
            <w:vAlign w:val="center"/>
          </w:tcPr>
          <w:p w14:paraId="506FCA8F">
            <w:pPr>
              <w:spacing w:after="0" w:line="240" w:lineRule="auto"/>
              <w:rPr>
                <w:rFonts w:hint="eastAsia" w:eastAsia="仿宋_GB2312"/>
                <w:lang w:eastAsia="zh-CN"/>
              </w:rPr>
            </w:pPr>
            <w:r>
              <w:rPr>
                <w:rFonts w:ascii="仿宋_GB2312" w:hAnsi="仿宋_GB2312" w:eastAsia="仿宋_GB2312"/>
                <w:b w:val="0"/>
                <w:sz w:val="18"/>
              </w:rPr>
              <w:t>施工全过程采用BIM技术、人工智能、物联网等数字化技术，实现智能化协同管理</w:t>
            </w:r>
            <w:r>
              <w:rPr>
                <w:rFonts w:hint="eastAsia" w:ascii="仿宋_GB2312" w:hAnsi="仿宋_GB2312" w:eastAsia="仿宋_GB2312"/>
                <w:b w:val="0"/>
                <w:sz w:val="18"/>
                <w:lang w:eastAsia="zh-CN"/>
              </w:rPr>
              <w:t>。</w:t>
            </w:r>
          </w:p>
        </w:tc>
        <w:tc>
          <w:tcPr>
            <w:tcW w:w="1619" w:type="dxa"/>
            <w:vAlign w:val="center"/>
          </w:tcPr>
          <w:p w14:paraId="29ED3830">
            <w:pPr>
              <w:spacing w:after="0" w:line="240" w:lineRule="auto"/>
              <w:jc w:val="center"/>
            </w:pPr>
            <w:r>
              <w:rPr>
                <w:rFonts w:ascii="仿宋_GB2312" w:hAnsi="仿宋_GB2312" w:eastAsia="仿宋_GB2312"/>
                <w:b w:val="0"/>
                <w:sz w:val="18"/>
              </w:rPr>
              <w:t>□符合 □不符合</w:t>
            </w:r>
          </w:p>
        </w:tc>
        <w:tc>
          <w:tcPr>
            <w:tcW w:w="1761" w:type="dxa"/>
            <w:vAlign w:val="center"/>
          </w:tcPr>
          <w:p w14:paraId="57C718CF">
            <w:pPr>
              <w:spacing w:after="0" w:line="240" w:lineRule="auto"/>
              <w:rPr>
                <w:rFonts w:hint="default" w:eastAsia="仿宋_GB2312"/>
                <w:lang w:val="en-US" w:eastAsia="zh-CN"/>
              </w:rPr>
            </w:pPr>
            <w:r>
              <w:rPr>
                <w:rFonts w:ascii="仿宋_GB2312" w:hAnsi="仿宋_GB2312" w:eastAsia="仿宋_GB2312"/>
                <w:b w:val="0"/>
                <w:sz w:val="18"/>
              </w:rPr>
              <w:t>运</w:t>
            </w:r>
            <w:r>
              <w:rPr>
                <w:rFonts w:hint="eastAsia" w:ascii="仿宋_GB2312" w:hAnsi="仿宋_GB2312" w:eastAsia="仿宋_GB2312"/>
                <w:b w:val="0"/>
                <w:sz w:val="18"/>
                <w:lang w:val="en-US" w:eastAsia="zh-CN"/>
              </w:rPr>
              <w:t>行评价（5分）</w:t>
            </w:r>
          </w:p>
        </w:tc>
      </w:tr>
      <w:tr w14:paraId="749F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410A847">
            <w:pPr>
              <w:spacing w:after="0" w:line="240" w:lineRule="auto"/>
              <w:jc w:val="center"/>
              <w:rPr>
                <w:rFonts w:hint="eastAsia" w:eastAsia="仿宋_GB2312"/>
                <w:lang w:eastAsia="zh-CN"/>
              </w:rPr>
            </w:pPr>
            <w:r>
              <w:rPr>
                <w:rFonts w:ascii="仿宋_GB2312" w:hAnsi="仿宋_GB2312" w:eastAsia="仿宋_GB2312"/>
                <w:b w:val="0"/>
                <w:sz w:val="18"/>
              </w:rPr>
              <w:t>2</w:t>
            </w:r>
            <w:r>
              <w:rPr>
                <w:rFonts w:hint="eastAsia" w:ascii="仿宋_GB2312" w:hAnsi="仿宋_GB2312" w:eastAsia="仿宋_GB2312"/>
                <w:b w:val="0"/>
                <w:sz w:val="18"/>
                <w:lang w:val="en-US" w:eastAsia="zh-CN"/>
              </w:rPr>
              <w:t>1</w:t>
            </w:r>
          </w:p>
        </w:tc>
        <w:tc>
          <w:tcPr>
            <w:tcW w:w="10340" w:type="dxa"/>
            <w:vAlign w:val="center"/>
          </w:tcPr>
          <w:p w14:paraId="4FAAED70">
            <w:pPr>
              <w:spacing w:after="0" w:line="240" w:lineRule="auto"/>
              <w:rPr>
                <w:rFonts w:hint="eastAsia" w:eastAsia="仿宋_GB2312"/>
                <w:lang w:eastAsia="zh-CN"/>
              </w:rPr>
            </w:pPr>
            <w:r>
              <w:rPr>
                <w:rFonts w:hint="eastAsia" w:ascii="仿宋_GB2312" w:hAnsi="仿宋_GB2312" w:eastAsia="仿宋_GB2312"/>
                <w:b w:val="0"/>
                <w:sz w:val="18"/>
                <w:lang w:val="en-US" w:eastAsia="zh-CN"/>
              </w:rPr>
              <w:t>共用部位：</w:t>
            </w:r>
            <w:r>
              <w:rPr>
                <w:rFonts w:hint="default" w:ascii="仿宋_GB2312" w:hAnsi="仿宋_GB2312" w:eastAsia="仿宋_GB2312"/>
                <w:b w:val="0"/>
                <w:sz w:val="18"/>
              </w:rPr>
              <w:t>主体结构、外立面</w:t>
            </w:r>
            <w:r>
              <w:rPr>
                <w:rFonts w:hint="eastAsia" w:ascii="仿宋_GB2312" w:hAnsi="仿宋_GB2312" w:eastAsia="仿宋_GB2312"/>
                <w:b w:val="0"/>
                <w:sz w:val="18"/>
                <w:lang w:eastAsia="zh-CN"/>
              </w:rPr>
              <w:t>，</w:t>
            </w:r>
            <w:r>
              <w:rPr>
                <w:rFonts w:hint="default" w:ascii="仿宋_GB2312" w:hAnsi="仿宋_GB2312" w:eastAsia="仿宋_GB2312"/>
                <w:b w:val="0"/>
                <w:sz w:val="18"/>
              </w:rPr>
              <w:t>防水层、隔热板</w:t>
            </w:r>
            <w:r>
              <w:rPr>
                <w:rFonts w:hint="eastAsia" w:ascii="仿宋_GB2312" w:hAnsi="仿宋_GB2312" w:eastAsia="仿宋_GB2312"/>
                <w:b w:val="0"/>
                <w:sz w:val="18"/>
                <w:lang w:eastAsia="zh-CN"/>
              </w:rPr>
              <w:t>；</w:t>
            </w:r>
            <w:r>
              <w:rPr>
                <w:rFonts w:hint="default" w:ascii="仿宋_GB2312" w:hAnsi="仿宋_GB2312" w:eastAsia="仿宋_GB2312"/>
                <w:b w:val="0"/>
                <w:sz w:val="18"/>
              </w:rPr>
              <w:t>1次/月巡查；屋面雨水总管、排水沟</w:t>
            </w:r>
            <w:r>
              <w:rPr>
                <w:rFonts w:hint="eastAsia" w:ascii="仿宋_GB2312" w:hAnsi="仿宋_GB2312" w:eastAsia="仿宋_GB2312"/>
                <w:b w:val="0"/>
                <w:sz w:val="18"/>
                <w:lang w:val="en-US" w:eastAsia="zh-CN"/>
              </w:rPr>
              <w:t>,大厅、楼梯、</w:t>
            </w:r>
            <w:r>
              <w:rPr>
                <w:rFonts w:hint="default" w:ascii="仿宋_GB2312" w:hAnsi="仿宋_GB2312" w:eastAsia="仿宋_GB2312"/>
                <w:b w:val="0"/>
                <w:sz w:val="18"/>
              </w:rPr>
              <w:t>电梯厅</w:t>
            </w:r>
            <w:r>
              <w:rPr>
                <w:rFonts w:hint="eastAsia" w:ascii="仿宋_GB2312" w:hAnsi="仿宋_GB2312" w:eastAsia="仿宋_GB2312"/>
                <w:b w:val="0"/>
                <w:sz w:val="18"/>
                <w:lang w:eastAsia="zh-CN"/>
              </w:rPr>
              <w:t>、</w:t>
            </w:r>
            <w:r>
              <w:rPr>
                <w:rFonts w:hint="default" w:ascii="仿宋_GB2312" w:hAnsi="仿宋_GB2312" w:eastAsia="仿宋_GB2312"/>
                <w:b w:val="0"/>
                <w:sz w:val="18"/>
              </w:rPr>
              <w:t>楼道、</w:t>
            </w:r>
            <w:r>
              <w:rPr>
                <w:rFonts w:hint="eastAsia" w:ascii="仿宋_GB2312" w:hAnsi="仿宋_GB2312" w:eastAsia="仿宋_GB2312"/>
                <w:b w:val="0"/>
                <w:sz w:val="18"/>
                <w:lang w:val="en-US" w:eastAsia="zh-CN"/>
              </w:rPr>
              <w:t>扶梯，</w:t>
            </w:r>
            <w:r>
              <w:rPr>
                <w:rFonts w:hint="default" w:ascii="仿宋_GB2312" w:hAnsi="仿宋_GB2312" w:eastAsia="仿宋_GB2312"/>
                <w:b w:val="0"/>
                <w:sz w:val="18"/>
              </w:rPr>
              <w:t>门窗配件：1次/周巡查</w:t>
            </w:r>
            <w:r>
              <w:rPr>
                <w:rFonts w:hint="eastAsia" w:ascii="仿宋_GB2312" w:hAnsi="仿宋_GB2312" w:eastAsia="仿宋_GB2312"/>
                <w:b w:val="0"/>
                <w:sz w:val="18"/>
                <w:lang w:eastAsia="zh-CN"/>
              </w:rPr>
              <w:t>；</w:t>
            </w:r>
            <w:r>
              <w:rPr>
                <w:rFonts w:hint="default" w:ascii="仿宋_GB2312" w:hAnsi="仿宋_GB2312" w:eastAsia="仿宋_GB2312"/>
                <w:b w:val="0"/>
                <w:sz w:val="18"/>
              </w:rPr>
              <w:t>照明、应急灯具：1次/日巡查</w:t>
            </w:r>
            <w:r>
              <w:rPr>
                <w:rFonts w:hint="eastAsia" w:ascii="仿宋_GB2312" w:hAnsi="仿宋_GB2312" w:eastAsia="仿宋_GB2312"/>
                <w:b w:val="0"/>
                <w:sz w:val="18"/>
                <w:lang w:eastAsia="zh-CN"/>
              </w:rPr>
              <w:t>。</w:t>
            </w:r>
          </w:p>
        </w:tc>
        <w:tc>
          <w:tcPr>
            <w:tcW w:w="1619" w:type="dxa"/>
            <w:vAlign w:val="center"/>
          </w:tcPr>
          <w:p w14:paraId="725004DD">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5A486CE0">
            <w:pPr>
              <w:spacing w:after="0" w:line="240" w:lineRule="auto"/>
            </w:pPr>
            <w:r>
              <w:rPr>
                <w:rFonts w:hint="eastAsia" w:ascii="仿宋_GB2312" w:hAnsi="仿宋_GB2312" w:eastAsia="仿宋_GB2312"/>
                <w:b w:val="0"/>
                <w:sz w:val="18"/>
                <w:lang w:val="en-US" w:eastAsia="zh-CN"/>
              </w:rPr>
              <w:t>运行评价，满足1项</w:t>
            </w:r>
            <w:r>
              <w:rPr>
                <w:rFonts w:hint="eastAsia" w:ascii="仿宋_GB2312" w:hAnsi="仿宋_GB2312" w:eastAsia="仿宋_GB2312"/>
                <w:b w:val="0"/>
                <w:sz w:val="18"/>
                <w:lang w:val="en-US" w:eastAsia="zh"/>
              </w:rPr>
              <w:t>5</w:t>
            </w:r>
            <w:r>
              <w:rPr>
                <w:rFonts w:hint="eastAsia" w:ascii="仿宋_GB2312" w:hAnsi="仿宋_GB2312" w:eastAsia="仿宋_GB2312"/>
                <w:b w:val="0"/>
                <w:sz w:val="18"/>
                <w:lang w:val="en-US" w:eastAsia="zh-CN"/>
              </w:rPr>
              <w:t>分，满足2项以上</w:t>
            </w:r>
            <w:r>
              <w:rPr>
                <w:rFonts w:hint="eastAsia" w:ascii="仿宋_GB2312" w:hAnsi="仿宋_GB2312" w:eastAsia="仿宋_GB2312"/>
                <w:b w:val="0"/>
                <w:sz w:val="18"/>
                <w:lang w:val="en-US" w:eastAsia="zh"/>
              </w:rPr>
              <w:t>10</w:t>
            </w:r>
            <w:r>
              <w:rPr>
                <w:rFonts w:hint="eastAsia" w:ascii="仿宋_GB2312" w:hAnsi="仿宋_GB2312" w:eastAsia="仿宋_GB2312"/>
                <w:b w:val="0"/>
                <w:sz w:val="18"/>
                <w:lang w:val="en-US" w:eastAsia="zh-CN"/>
              </w:rPr>
              <w:t>分</w:t>
            </w:r>
          </w:p>
        </w:tc>
      </w:tr>
      <w:tr w14:paraId="093E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783309F">
            <w:pPr>
              <w:spacing w:after="0" w:line="240" w:lineRule="auto"/>
              <w:jc w:val="center"/>
              <w:rPr>
                <w:rFonts w:hint="eastAsia" w:eastAsia="仿宋_GB2312"/>
                <w:lang w:eastAsia="zh-CN"/>
              </w:rPr>
            </w:pPr>
            <w:r>
              <w:rPr>
                <w:rFonts w:ascii="仿宋_GB2312" w:hAnsi="仿宋_GB2312" w:eastAsia="仿宋_GB2312"/>
                <w:b w:val="0"/>
                <w:sz w:val="18"/>
              </w:rPr>
              <w:t>2</w:t>
            </w:r>
            <w:r>
              <w:rPr>
                <w:rFonts w:hint="eastAsia" w:ascii="仿宋_GB2312" w:hAnsi="仿宋_GB2312" w:eastAsia="仿宋_GB2312"/>
                <w:b w:val="0"/>
                <w:sz w:val="18"/>
                <w:lang w:val="en-US" w:eastAsia="zh-CN"/>
              </w:rPr>
              <w:t>2</w:t>
            </w:r>
          </w:p>
        </w:tc>
        <w:tc>
          <w:tcPr>
            <w:tcW w:w="10340" w:type="dxa"/>
            <w:vAlign w:val="center"/>
          </w:tcPr>
          <w:p w14:paraId="5D99E579">
            <w:pPr>
              <w:spacing w:after="0" w:line="240" w:lineRule="auto"/>
              <w:rPr>
                <w:rFonts w:hint="eastAsia" w:eastAsia="仿宋_GB2312"/>
                <w:lang w:eastAsia="zh-CN"/>
              </w:rPr>
            </w:pPr>
            <w:r>
              <w:rPr>
                <w:rFonts w:ascii="仿宋_GB2312" w:hAnsi="仿宋_GB2312" w:eastAsia="仿宋_GB2312"/>
                <w:b w:val="0"/>
                <w:sz w:val="18"/>
              </w:rPr>
              <w:t>楼外公共区域：1次/周巡查</w:t>
            </w:r>
            <w:r>
              <w:rPr>
                <w:rFonts w:hint="eastAsia" w:ascii="仿宋_GB2312" w:hAnsi="仿宋_GB2312" w:eastAsia="仿宋_GB2312"/>
                <w:b w:val="0"/>
                <w:sz w:val="18"/>
                <w:lang w:eastAsia="zh-CN"/>
              </w:rPr>
              <w:t>。</w:t>
            </w:r>
          </w:p>
        </w:tc>
        <w:tc>
          <w:tcPr>
            <w:tcW w:w="1619" w:type="dxa"/>
            <w:vAlign w:val="center"/>
          </w:tcPr>
          <w:p w14:paraId="136157B3">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0F774D05">
            <w:pPr>
              <w:spacing w:after="0" w:line="240" w:lineRule="auto"/>
            </w:pPr>
          </w:p>
        </w:tc>
      </w:tr>
      <w:tr w14:paraId="335A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47E53AA">
            <w:pPr>
              <w:spacing w:after="0" w:line="240" w:lineRule="auto"/>
              <w:jc w:val="center"/>
              <w:rPr>
                <w:rFonts w:hint="eastAsia" w:eastAsia="仿宋_GB2312"/>
                <w:lang w:eastAsia="zh-CN"/>
              </w:rPr>
            </w:pPr>
            <w:r>
              <w:rPr>
                <w:rFonts w:ascii="仿宋_GB2312" w:hAnsi="仿宋_GB2312" w:eastAsia="仿宋_GB2312"/>
                <w:b w:val="0"/>
                <w:sz w:val="18"/>
              </w:rPr>
              <w:t>2</w:t>
            </w:r>
            <w:r>
              <w:rPr>
                <w:rFonts w:hint="eastAsia" w:ascii="仿宋_GB2312" w:hAnsi="仿宋_GB2312" w:eastAsia="仿宋_GB2312"/>
                <w:b w:val="0"/>
                <w:sz w:val="18"/>
                <w:lang w:val="en-US" w:eastAsia="zh-CN"/>
              </w:rPr>
              <w:t>3</w:t>
            </w:r>
          </w:p>
        </w:tc>
        <w:tc>
          <w:tcPr>
            <w:tcW w:w="10340" w:type="dxa"/>
            <w:vAlign w:val="center"/>
          </w:tcPr>
          <w:p w14:paraId="609531D1">
            <w:pPr>
              <w:spacing w:after="0" w:line="240" w:lineRule="auto"/>
              <w:rPr>
                <w:rFonts w:hint="eastAsia" w:eastAsia="仿宋_GB2312"/>
                <w:lang w:eastAsia="zh-CN"/>
              </w:rPr>
            </w:pPr>
            <w:r>
              <w:rPr>
                <w:rFonts w:ascii="仿宋_GB2312" w:hAnsi="仿宋_GB2312" w:eastAsia="仿宋_GB2312"/>
                <w:b w:val="0"/>
                <w:sz w:val="18"/>
              </w:rPr>
              <w:t>景观设施：景观小品1次/周巡查；水泵及水泵控制系统1次/日巡查</w:t>
            </w:r>
            <w:r>
              <w:rPr>
                <w:rFonts w:hint="eastAsia" w:ascii="仿宋_GB2312" w:hAnsi="仿宋_GB2312" w:eastAsia="仿宋_GB2312"/>
                <w:b w:val="0"/>
                <w:sz w:val="18"/>
                <w:lang w:eastAsia="zh-CN"/>
              </w:rPr>
              <w:t>。</w:t>
            </w:r>
          </w:p>
        </w:tc>
        <w:tc>
          <w:tcPr>
            <w:tcW w:w="1619" w:type="dxa"/>
            <w:vAlign w:val="center"/>
          </w:tcPr>
          <w:p w14:paraId="6C3A6505">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2268C3AD">
            <w:pPr>
              <w:spacing w:after="0" w:line="240" w:lineRule="auto"/>
            </w:pPr>
          </w:p>
        </w:tc>
      </w:tr>
      <w:tr w14:paraId="0AD7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0" w:type="dxa"/>
            <w:vAlign w:val="center"/>
          </w:tcPr>
          <w:p w14:paraId="669DAEBA">
            <w:pPr>
              <w:spacing w:after="0" w:line="240" w:lineRule="auto"/>
              <w:jc w:val="center"/>
              <w:rPr>
                <w:rFonts w:hint="eastAsia" w:eastAsia="仿宋_GB2312"/>
                <w:lang w:eastAsia="zh-CN"/>
              </w:rPr>
            </w:pPr>
            <w:r>
              <w:rPr>
                <w:rFonts w:ascii="仿宋_GB2312" w:hAnsi="仿宋_GB2312" w:eastAsia="仿宋_GB2312"/>
                <w:b w:val="0"/>
                <w:sz w:val="18"/>
              </w:rPr>
              <w:t>2</w:t>
            </w:r>
            <w:r>
              <w:rPr>
                <w:rFonts w:hint="eastAsia" w:ascii="仿宋_GB2312" w:hAnsi="仿宋_GB2312" w:eastAsia="仿宋_GB2312"/>
                <w:b w:val="0"/>
                <w:sz w:val="18"/>
                <w:lang w:val="en-US" w:eastAsia="zh-CN"/>
              </w:rPr>
              <w:t>4</w:t>
            </w:r>
          </w:p>
        </w:tc>
        <w:tc>
          <w:tcPr>
            <w:tcW w:w="10340" w:type="dxa"/>
            <w:vAlign w:val="center"/>
          </w:tcPr>
          <w:p w14:paraId="6118B451">
            <w:pPr>
              <w:spacing w:after="0" w:line="240" w:lineRule="auto"/>
              <w:rPr>
                <w:rFonts w:hint="eastAsia" w:eastAsia="仿宋_GB2312"/>
                <w:lang w:eastAsia="zh-CN"/>
              </w:rPr>
            </w:pPr>
            <w:r>
              <w:rPr>
                <w:rFonts w:ascii="仿宋_GB2312" w:hAnsi="仿宋_GB2312" w:eastAsia="仿宋_GB2312"/>
                <w:b w:val="0"/>
                <w:sz w:val="18"/>
              </w:rPr>
              <w:t>围墙、垃圾用房、强弱电机房、室外健身设施：1次/周巡查</w:t>
            </w:r>
            <w:r>
              <w:rPr>
                <w:rFonts w:hint="eastAsia" w:ascii="仿宋_GB2312" w:hAnsi="仿宋_GB2312" w:eastAsia="仿宋_GB2312"/>
                <w:b w:val="0"/>
                <w:sz w:val="18"/>
                <w:lang w:eastAsia="zh-CN"/>
              </w:rPr>
              <w:t>。</w:t>
            </w:r>
          </w:p>
        </w:tc>
        <w:tc>
          <w:tcPr>
            <w:tcW w:w="1619" w:type="dxa"/>
            <w:vAlign w:val="center"/>
          </w:tcPr>
          <w:p w14:paraId="171DE4E9">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78BD8FF3">
            <w:pPr>
              <w:spacing w:after="0" w:line="240" w:lineRule="auto"/>
            </w:pPr>
          </w:p>
        </w:tc>
      </w:tr>
      <w:tr w14:paraId="3B9F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850" w:type="dxa"/>
            <w:vAlign w:val="center"/>
          </w:tcPr>
          <w:p w14:paraId="36E216C7">
            <w:pPr>
              <w:spacing w:after="0" w:line="240" w:lineRule="auto"/>
              <w:jc w:val="center"/>
              <w:rPr>
                <w:rFonts w:hint="eastAsia" w:eastAsia="仿宋_GB2312"/>
                <w:lang w:eastAsia="zh-CN"/>
              </w:rPr>
            </w:pPr>
            <w:r>
              <w:rPr>
                <w:rFonts w:ascii="仿宋_GB2312" w:hAnsi="仿宋_GB2312" w:eastAsia="仿宋_GB2312"/>
                <w:b w:val="0"/>
                <w:sz w:val="18"/>
              </w:rPr>
              <w:t>2</w:t>
            </w:r>
            <w:r>
              <w:rPr>
                <w:rFonts w:hint="eastAsia" w:ascii="仿宋_GB2312" w:hAnsi="仿宋_GB2312" w:eastAsia="仿宋_GB2312"/>
                <w:b w:val="0"/>
                <w:sz w:val="18"/>
                <w:lang w:val="en-US" w:eastAsia="zh-CN"/>
              </w:rPr>
              <w:t>5</w:t>
            </w:r>
          </w:p>
        </w:tc>
        <w:tc>
          <w:tcPr>
            <w:tcW w:w="10340" w:type="dxa"/>
            <w:vAlign w:val="center"/>
          </w:tcPr>
          <w:p w14:paraId="3C319878">
            <w:pPr>
              <w:spacing w:after="0" w:line="240" w:lineRule="auto"/>
              <w:rPr>
                <w:rFonts w:hint="eastAsia" w:eastAsia="仿宋_GB2312"/>
                <w:lang w:eastAsia="zh-CN"/>
              </w:rPr>
            </w:pPr>
            <w:r>
              <w:rPr>
                <w:rFonts w:ascii="仿宋_GB2312" w:hAnsi="仿宋_GB2312" w:eastAsia="仿宋_GB2312"/>
                <w:b w:val="0"/>
                <w:sz w:val="18"/>
              </w:rPr>
              <w:t>配电室每日巡检；公共照明每日巡查、完好率≥95%</w:t>
            </w:r>
            <w:r>
              <w:rPr>
                <w:rFonts w:hint="eastAsia" w:ascii="仿宋_GB2312" w:hAnsi="仿宋_GB2312" w:eastAsia="仿宋_GB2312"/>
                <w:b w:val="0"/>
                <w:sz w:val="18"/>
                <w:lang w:eastAsia="zh-CN"/>
              </w:rPr>
              <w:t>。</w:t>
            </w:r>
          </w:p>
        </w:tc>
        <w:tc>
          <w:tcPr>
            <w:tcW w:w="1619" w:type="dxa"/>
            <w:vAlign w:val="center"/>
          </w:tcPr>
          <w:p w14:paraId="4927FFAF">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37DB25DD">
            <w:pPr>
              <w:spacing w:after="0" w:line="240" w:lineRule="auto"/>
            </w:pPr>
          </w:p>
        </w:tc>
      </w:tr>
      <w:tr w14:paraId="45139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6842E15">
            <w:pPr>
              <w:spacing w:after="0" w:line="240" w:lineRule="auto"/>
              <w:jc w:val="center"/>
              <w:rPr>
                <w:rFonts w:hint="default" w:eastAsia="宋体"/>
                <w:lang w:val="en-US" w:eastAsia="zh-CN"/>
              </w:rPr>
            </w:pPr>
            <w:r>
              <w:rPr>
                <w:rFonts w:hint="eastAsia" w:ascii="仿宋_GB2312" w:hAnsi="仿宋_GB2312" w:eastAsia="仿宋_GB2312"/>
                <w:b w:val="0"/>
                <w:sz w:val="18"/>
                <w:lang w:val="en-US" w:eastAsia="zh-CN"/>
              </w:rPr>
              <w:t>26</w:t>
            </w:r>
          </w:p>
        </w:tc>
        <w:tc>
          <w:tcPr>
            <w:tcW w:w="10340" w:type="dxa"/>
            <w:vAlign w:val="center"/>
          </w:tcPr>
          <w:p w14:paraId="3DAD7230">
            <w:pPr>
              <w:spacing w:after="0" w:line="240" w:lineRule="auto"/>
              <w:rPr>
                <w:rFonts w:hint="eastAsia" w:eastAsia="仿宋_GB2312"/>
                <w:lang w:eastAsia="zh-CN"/>
              </w:rPr>
            </w:pPr>
            <w:r>
              <w:rPr>
                <w:rFonts w:ascii="仿宋_GB2312" w:hAnsi="仿宋_GB2312" w:eastAsia="仿宋_GB2312"/>
                <w:b w:val="0"/>
                <w:sz w:val="18"/>
              </w:rPr>
              <w:t>非生活用水管网、雨污水井池：1次/周巡查</w:t>
            </w:r>
            <w:r>
              <w:rPr>
                <w:rFonts w:hint="eastAsia" w:ascii="仿宋_GB2312" w:hAnsi="仿宋_GB2312" w:eastAsia="仿宋_GB2312"/>
                <w:b w:val="0"/>
                <w:sz w:val="18"/>
                <w:lang w:eastAsia="zh-CN"/>
              </w:rPr>
              <w:t>。</w:t>
            </w:r>
          </w:p>
        </w:tc>
        <w:tc>
          <w:tcPr>
            <w:tcW w:w="1619" w:type="dxa"/>
            <w:vAlign w:val="center"/>
          </w:tcPr>
          <w:p w14:paraId="441607AD">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3A56B9FF">
            <w:pPr>
              <w:spacing w:after="0" w:line="240" w:lineRule="auto"/>
            </w:pPr>
          </w:p>
        </w:tc>
      </w:tr>
      <w:tr w14:paraId="5029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B8AD77C">
            <w:pPr>
              <w:spacing w:after="0" w:line="240" w:lineRule="auto"/>
              <w:jc w:val="center"/>
              <w:rPr>
                <w:rFonts w:hint="default" w:eastAsia="宋体"/>
                <w:lang w:val="en-US" w:eastAsia="zh-CN"/>
              </w:rPr>
            </w:pPr>
            <w:r>
              <w:rPr>
                <w:rFonts w:hint="eastAsia" w:ascii="仿宋_GB2312" w:hAnsi="仿宋_GB2312" w:eastAsia="仿宋_GB2312"/>
                <w:b w:val="0"/>
                <w:sz w:val="18"/>
                <w:lang w:val="en-US" w:eastAsia="zh-CN"/>
              </w:rPr>
              <w:t>27</w:t>
            </w:r>
          </w:p>
        </w:tc>
        <w:tc>
          <w:tcPr>
            <w:tcW w:w="10340" w:type="dxa"/>
            <w:vAlign w:val="center"/>
          </w:tcPr>
          <w:p w14:paraId="7F67C31C">
            <w:pPr>
              <w:spacing w:after="0" w:line="240" w:lineRule="auto"/>
            </w:pPr>
            <w:r>
              <w:rPr>
                <w:rFonts w:ascii="仿宋_GB2312" w:hAnsi="仿宋_GB2312" w:eastAsia="仿宋_GB2312"/>
                <w:b w:val="0"/>
                <w:sz w:val="18"/>
              </w:rPr>
              <w:t>电梯外呼1次/日巡查，电梯困人救援≤15分钟；消防报警、防排烟、消火栓、喷淋系统每月测试；人防设施每日检查试机。</w:t>
            </w:r>
          </w:p>
        </w:tc>
        <w:tc>
          <w:tcPr>
            <w:tcW w:w="1619" w:type="dxa"/>
            <w:vAlign w:val="center"/>
          </w:tcPr>
          <w:p w14:paraId="640BCF69">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1A92F0C">
            <w:pPr>
              <w:spacing w:after="0" w:line="240" w:lineRule="auto"/>
            </w:pPr>
          </w:p>
        </w:tc>
      </w:tr>
    </w:tbl>
    <w:p w14:paraId="1FCAD4F7">
      <w:r>
        <w:rPr>
          <w:rFonts w:ascii="楷体_GB2312" w:hAnsi="楷体_GB2312" w:eastAsia="楷体_GB2312"/>
          <w:b/>
          <w:sz w:val="22"/>
        </w:rPr>
        <w:t>（三）加分项（共2条）</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0340"/>
        <w:gridCol w:w="1619"/>
        <w:gridCol w:w="1761"/>
      </w:tblGrid>
      <w:tr w14:paraId="18BB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0" w:type="dxa"/>
            <w:shd w:val="clear" w:color="auto" w:fill="F2F2F2"/>
            <w:vAlign w:val="center"/>
          </w:tcPr>
          <w:p w14:paraId="41D22F2E">
            <w:pPr>
              <w:spacing w:after="0" w:line="240" w:lineRule="auto"/>
              <w:jc w:val="center"/>
              <w:rPr>
                <w:rFonts w:ascii="黑体" w:hAnsi="黑体" w:eastAsia="黑体"/>
                <w:b/>
                <w:sz w:val="24"/>
                <w:szCs w:val="24"/>
              </w:rPr>
            </w:pPr>
            <w:r>
              <w:rPr>
                <w:rFonts w:ascii="黑体" w:hAnsi="黑体" w:eastAsia="黑体"/>
                <w:b/>
                <w:sz w:val="24"/>
                <w:szCs w:val="24"/>
              </w:rPr>
              <w:t>序号</w:t>
            </w:r>
          </w:p>
        </w:tc>
        <w:tc>
          <w:tcPr>
            <w:tcW w:w="10340" w:type="dxa"/>
            <w:shd w:val="clear" w:color="auto" w:fill="F2F2F2"/>
            <w:vAlign w:val="center"/>
          </w:tcPr>
          <w:p w14:paraId="58C46C69">
            <w:pPr>
              <w:spacing w:after="0" w:line="240" w:lineRule="auto"/>
              <w:jc w:val="center"/>
              <w:rPr>
                <w:rFonts w:ascii="黑体" w:hAnsi="黑体" w:eastAsia="黑体"/>
                <w:b/>
                <w:sz w:val="24"/>
                <w:szCs w:val="24"/>
              </w:rPr>
            </w:pPr>
            <w:r>
              <w:rPr>
                <w:rFonts w:ascii="黑体" w:hAnsi="黑体" w:eastAsia="黑体"/>
                <w:b/>
                <w:sz w:val="24"/>
                <w:szCs w:val="24"/>
              </w:rPr>
              <w:t>加分项内容</w:t>
            </w:r>
          </w:p>
        </w:tc>
        <w:tc>
          <w:tcPr>
            <w:tcW w:w="1619" w:type="dxa"/>
            <w:shd w:val="clear" w:color="auto" w:fill="F2F2F2"/>
            <w:vAlign w:val="center"/>
          </w:tcPr>
          <w:p w14:paraId="18BB0718">
            <w:pPr>
              <w:spacing w:after="0" w:line="240" w:lineRule="auto"/>
              <w:jc w:val="center"/>
              <w:rPr>
                <w:rFonts w:ascii="黑体" w:hAnsi="黑体" w:eastAsia="黑体"/>
                <w:b/>
                <w:sz w:val="24"/>
                <w:szCs w:val="24"/>
              </w:rPr>
            </w:pPr>
            <w:r>
              <w:rPr>
                <w:rFonts w:ascii="黑体" w:hAnsi="黑体" w:eastAsia="黑体"/>
                <w:b/>
                <w:sz w:val="24"/>
                <w:szCs w:val="24"/>
              </w:rPr>
              <w:t>自查结果</w:t>
            </w:r>
          </w:p>
        </w:tc>
        <w:tc>
          <w:tcPr>
            <w:tcW w:w="1761" w:type="dxa"/>
            <w:shd w:val="clear" w:color="auto" w:fill="F2F2F2"/>
            <w:vAlign w:val="center"/>
          </w:tcPr>
          <w:p w14:paraId="0CF49EA3">
            <w:pPr>
              <w:spacing w:after="0" w:line="240" w:lineRule="auto"/>
              <w:jc w:val="center"/>
              <w:rPr>
                <w:rFonts w:ascii="黑体" w:hAnsi="黑体" w:eastAsia="黑体"/>
                <w:b/>
                <w:sz w:val="24"/>
                <w:szCs w:val="24"/>
              </w:rPr>
            </w:pPr>
            <w:r>
              <w:rPr>
                <w:rFonts w:ascii="黑体" w:hAnsi="黑体" w:eastAsia="黑体"/>
                <w:b/>
                <w:sz w:val="24"/>
                <w:szCs w:val="24"/>
              </w:rPr>
              <w:t>备注</w:t>
            </w:r>
          </w:p>
        </w:tc>
      </w:tr>
      <w:tr w14:paraId="69F4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DA1E8C9">
            <w:pPr>
              <w:spacing w:after="0" w:line="240" w:lineRule="auto"/>
              <w:jc w:val="center"/>
            </w:pPr>
            <w:r>
              <w:rPr>
                <w:rFonts w:ascii="仿宋_GB2312" w:hAnsi="仿宋_GB2312" w:eastAsia="仿宋_GB2312"/>
                <w:b w:val="0"/>
                <w:sz w:val="18"/>
              </w:rPr>
              <w:t>1</w:t>
            </w:r>
          </w:p>
        </w:tc>
        <w:tc>
          <w:tcPr>
            <w:tcW w:w="10340" w:type="dxa"/>
            <w:vAlign w:val="center"/>
          </w:tcPr>
          <w:p w14:paraId="4A8A9F4C">
            <w:pPr>
              <w:spacing w:after="0" w:line="240" w:lineRule="auto"/>
            </w:pPr>
            <w:r>
              <w:rPr>
                <w:rFonts w:ascii="仿宋_GB2312" w:hAnsi="仿宋_GB2312" w:eastAsia="仿宋_GB2312"/>
                <w:b w:val="0"/>
                <w:sz w:val="18"/>
              </w:rPr>
              <w:t>推广高性能绿色建材组合应用，如超高性能混凝土（UHPC）、纤维增强复合材料（FRP），提升结构耐久性与轻量化水平。</w:t>
            </w:r>
          </w:p>
        </w:tc>
        <w:tc>
          <w:tcPr>
            <w:tcW w:w="1619" w:type="dxa"/>
            <w:vAlign w:val="center"/>
          </w:tcPr>
          <w:p w14:paraId="5E54F445">
            <w:pPr>
              <w:spacing w:after="0" w:line="240" w:lineRule="auto"/>
              <w:jc w:val="center"/>
            </w:pPr>
            <w:r>
              <w:rPr>
                <w:rFonts w:ascii="仿宋_GB2312" w:hAnsi="仿宋_GB2312" w:eastAsia="仿宋_GB2312"/>
                <w:b w:val="0"/>
                <w:sz w:val="18"/>
              </w:rPr>
              <w:t>□符合 □不符合</w:t>
            </w:r>
          </w:p>
        </w:tc>
        <w:tc>
          <w:tcPr>
            <w:tcW w:w="1761" w:type="dxa"/>
            <w:vAlign w:val="center"/>
          </w:tcPr>
          <w:p w14:paraId="6E0C2F55">
            <w:pPr>
              <w:spacing w:after="0" w:line="240" w:lineRule="auto"/>
              <w:jc w:val="center"/>
            </w:pPr>
            <w:r>
              <w:rPr>
                <w:rFonts w:hint="eastAsia" w:ascii="仿宋_GB2312" w:hAnsi="仿宋_GB2312" w:eastAsia="仿宋_GB2312"/>
                <w:b w:val="0"/>
                <w:sz w:val="18"/>
                <w:lang w:val="en-US" w:eastAsia="zh-CN"/>
              </w:rPr>
              <w:t>1分</w:t>
            </w:r>
          </w:p>
        </w:tc>
      </w:tr>
      <w:tr w14:paraId="385D6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C6A8235">
            <w:pPr>
              <w:spacing w:after="0" w:line="240" w:lineRule="auto"/>
              <w:jc w:val="center"/>
            </w:pPr>
            <w:r>
              <w:rPr>
                <w:rFonts w:ascii="仿宋_GB2312" w:hAnsi="仿宋_GB2312" w:eastAsia="仿宋_GB2312"/>
                <w:b w:val="0"/>
                <w:sz w:val="18"/>
              </w:rPr>
              <w:t>2</w:t>
            </w:r>
          </w:p>
        </w:tc>
        <w:tc>
          <w:tcPr>
            <w:tcW w:w="10340" w:type="dxa"/>
            <w:vAlign w:val="center"/>
          </w:tcPr>
          <w:p w14:paraId="4E39D55B">
            <w:pPr>
              <w:spacing w:after="0" w:line="240" w:lineRule="auto"/>
            </w:pPr>
            <w:r>
              <w:rPr>
                <w:rFonts w:ascii="仿宋_GB2312" w:hAnsi="仿宋_GB2312" w:eastAsia="仿宋_GB2312"/>
                <w:b w:val="0"/>
                <w:sz w:val="18"/>
              </w:rPr>
              <w:t>推广装配式全装修与部品部件标准化，实现装修与主体结构一体化设计、施工，减少现场湿作业，提升装修质量与效率。</w:t>
            </w:r>
          </w:p>
        </w:tc>
        <w:tc>
          <w:tcPr>
            <w:tcW w:w="1619" w:type="dxa"/>
            <w:vAlign w:val="center"/>
          </w:tcPr>
          <w:p w14:paraId="66E545C2">
            <w:pPr>
              <w:spacing w:after="0" w:line="240" w:lineRule="auto"/>
              <w:jc w:val="center"/>
            </w:pPr>
            <w:r>
              <w:rPr>
                <w:rFonts w:ascii="仿宋_GB2312" w:hAnsi="仿宋_GB2312" w:eastAsia="仿宋_GB2312"/>
                <w:b w:val="0"/>
                <w:sz w:val="18"/>
              </w:rPr>
              <w:t>□符合 □不符合</w:t>
            </w:r>
          </w:p>
        </w:tc>
        <w:tc>
          <w:tcPr>
            <w:tcW w:w="1761" w:type="dxa"/>
            <w:vAlign w:val="center"/>
          </w:tcPr>
          <w:p w14:paraId="6FE1C6D4">
            <w:pPr>
              <w:spacing w:after="0" w:line="240" w:lineRule="auto"/>
              <w:jc w:val="center"/>
              <w:rPr>
                <w:rFonts w:hint="default" w:eastAsia="仿宋_GB2312"/>
                <w:lang w:val="en-US" w:eastAsia="zh-CN"/>
              </w:rPr>
            </w:pPr>
            <w:r>
              <w:rPr>
                <w:rFonts w:ascii="仿宋_GB2312" w:hAnsi="仿宋_GB2312" w:eastAsia="仿宋_GB2312"/>
                <w:b w:val="0"/>
                <w:sz w:val="18"/>
              </w:rPr>
              <w:t>运行评价</w:t>
            </w:r>
            <w:r>
              <w:rPr>
                <w:rFonts w:hint="eastAsia" w:ascii="仿宋_GB2312" w:hAnsi="仿宋_GB2312" w:eastAsia="仿宋_GB2312"/>
                <w:b w:val="0"/>
                <w:sz w:val="18"/>
                <w:lang w:eastAsia="zh-CN"/>
              </w:rPr>
              <w:t>（</w:t>
            </w:r>
            <w:r>
              <w:rPr>
                <w:rFonts w:hint="eastAsia" w:ascii="仿宋_GB2312" w:hAnsi="仿宋_GB2312" w:eastAsia="仿宋_GB2312"/>
                <w:b w:val="0"/>
                <w:sz w:val="18"/>
                <w:lang w:val="en-US" w:eastAsia="zh-CN"/>
              </w:rPr>
              <w:t>1分）</w:t>
            </w:r>
          </w:p>
        </w:tc>
      </w:tr>
    </w:tbl>
    <w:p w14:paraId="0B8C2661"/>
    <w:p w14:paraId="3578548A">
      <w:pPr>
        <w:rPr>
          <w:rFonts w:ascii="黑体" w:hAnsi="黑体" w:eastAsia="黑体"/>
          <w:b/>
          <w:sz w:val="28"/>
          <w:szCs w:val="28"/>
        </w:rPr>
      </w:pPr>
      <w:r>
        <w:rPr>
          <w:rFonts w:ascii="黑体" w:hAnsi="黑体" w:eastAsia="黑体"/>
          <w:b/>
          <w:sz w:val="28"/>
          <w:szCs w:val="28"/>
        </w:rPr>
        <w:t>二、健康舒适</w:t>
      </w:r>
    </w:p>
    <w:p w14:paraId="4D7AFF7B">
      <w:pPr>
        <w:rPr>
          <w:rFonts w:ascii="楷体_GB2312" w:hAnsi="楷体_GB2312" w:eastAsia="楷体_GB2312"/>
          <w:b/>
          <w:bCs w:val="0"/>
          <w:sz w:val="28"/>
          <w:szCs w:val="28"/>
        </w:rPr>
      </w:pPr>
      <w:r>
        <w:rPr>
          <w:rFonts w:ascii="楷体_GB2312" w:hAnsi="楷体_GB2312" w:eastAsia="楷体_GB2312"/>
          <w:b/>
          <w:bCs w:val="0"/>
          <w:sz w:val="28"/>
          <w:szCs w:val="28"/>
        </w:rPr>
        <w:t>（一）控制项（共17条）</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0340"/>
        <w:gridCol w:w="1619"/>
        <w:gridCol w:w="1761"/>
      </w:tblGrid>
      <w:tr w14:paraId="3623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2F2F2"/>
            <w:vAlign w:val="center"/>
          </w:tcPr>
          <w:p w14:paraId="62DE73D3">
            <w:pPr>
              <w:spacing w:after="0" w:line="240" w:lineRule="auto"/>
              <w:jc w:val="center"/>
              <w:rPr>
                <w:rFonts w:ascii="黑体" w:hAnsi="黑体" w:eastAsia="黑体"/>
                <w:b/>
                <w:sz w:val="24"/>
                <w:szCs w:val="24"/>
              </w:rPr>
            </w:pPr>
            <w:r>
              <w:rPr>
                <w:rFonts w:ascii="黑体" w:hAnsi="黑体" w:eastAsia="黑体"/>
                <w:b/>
                <w:sz w:val="24"/>
                <w:szCs w:val="24"/>
              </w:rPr>
              <w:t>序号</w:t>
            </w:r>
          </w:p>
        </w:tc>
        <w:tc>
          <w:tcPr>
            <w:tcW w:w="10340" w:type="dxa"/>
            <w:shd w:val="clear" w:color="auto" w:fill="F2F2F2"/>
            <w:vAlign w:val="center"/>
          </w:tcPr>
          <w:p w14:paraId="4A5CF712">
            <w:pPr>
              <w:spacing w:after="0" w:line="240" w:lineRule="auto"/>
              <w:jc w:val="center"/>
              <w:rPr>
                <w:rFonts w:ascii="黑体" w:hAnsi="黑体" w:eastAsia="黑体"/>
                <w:b/>
                <w:sz w:val="24"/>
                <w:szCs w:val="24"/>
              </w:rPr>
            </w:pPr>
            <w:r>
              <w:rPr>
                <w:rFonts w:ascii="黑体" w:hAnsi="黑体" w:eastAsia="黑体"/>
                <w:b/>
                <w:sz w:val="24"/>
                <w:szCs w:val="24"/>
              </w:rPr>
              <w:t>控制项内容</w:t>
            </w:r>
          </w:p>
        </w:tc>
        <w:tc>
          <w:tcPr>
            <w:tcW w:w="1619" w:type="dxa"/>
            <w:shd w:val="clear" w:color="auto" w:fill="F2F2F2"/>
            <w:vAlign w:val="center"/>
          </w:tcPr>
          <w:p w14:paraId="20A7D5DA">
            <w:pPr>
              <w:spacing w:after="0" w:line="240" w:lineRule="auto"/>
              <w:jc w:val="center"/>
              <w:rPr>
                <w:rFonts w:ascii="黑体" w:hAnsi="黑体" w:eastAsia="黑体"/>
                <w:b/>
                <w:sz w:val="24"/>
                <w:szCs w:val="24"/>
              </w:rPr>
            </w:pPr>
            <w:r>
              <w:rPr>
                <w:rFonts w:ascii="黑体" w:hAnsi="黑体" w:eastAsia="黑体"/>
                <w:b/>
                <w:sz w:val="24"/>
                <w:szCs w:val="24"/>
              </w:rPr>
              <w:t>自查结果</w:t>
            </w:r>
          </w:p>
        </w:tc>
        <w:tc>
          <w:tcPr>
            <w:tcW w:w="1761" w:type="dxa"/>
            <w:shd w:val="clear" w:color="auto" w:fill="F2F2F2"/>
            <w:vAlign w:val="center"/>
          </w:tcPr>
          <w:p w14:paraId="660F01A5">
            <w:pPr>
              <w:spacing w:after="0" w:line="240" w:lineRule="auto"/>
              <w:jc w:val="center"/>
              <w:rPr>
                <w:rFonts w:ascii="黑体" w:hAnsi="黑体" w:eastAsia="黑体"/>
                <w:b/>
                <w:sz w:val="24"/>
                <w:szCs w:val="24"/>
              </w:rPr>
            </w:pPr>
            <w:r>
              <w:rPr>
                <w:rFonts w:ascii="黑体" w:hAnsi="黑体" w:eastAsia="黑体"/>
                <w:b/>
                <w:sz w:val="24"/>
                <w:szCs w:val="24"/>
              </w:rPr>
              <w:t>备注</w:t>
            </w:r>
          </w:p>
        </w:tc>
      </w:tr>
      <w:tr w14:paraId="27D9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1BFDD78">
            <w:pPr>
              <w:spacing w:after="0" w:line="240" w:lineRule="auto"/>
              <w:jc w:val="center"/>
            </w:pPr>
            <w:r>
              <w:rPr>
                <w:rFonts w:ascii="仿宋_GB2312" w:hAnsi="仿宋_GB2312" w:eastAsia="仿宋_GB2312"/>
                <w:b w:val="0"/>
                <w:sz w:val="18"/>
              </w:rPr>
              <w:t>1</w:t>
            </w:r>
          </w:p>
        </w:tc>
        <w:tc>
          <w:tcPr>
            <w:tcW w:w="10340" w:type="dxa"/>
            <w:vAlign w:val="center"/>
          </w:tcPr>
          <w:p w14:paraId="65ECEC9B">
            <w:pPr>
              <w:spacing w:after="0" w:line="240" w:lineRule="auto"/>
            </w:pPr>
            <w:r>
              <w:rPr>
                <w:rFonts w:ascii="仿宋_GB2312" w:hAnsi="仿宋_GB2312" w:eastAsia="仿宋_GB2312"/>
                <w:b w:val="0"/>
                <w:sz w:val="18"/>
              </w:rPr>
              <w:t>好房子应提供良好的室内声环境、光环境、热工环境，并应符合下列规定：①应结合当地主导风向布局，满足室外行走、活动舒适和建筑自然通风要求；②应对居住区噪声源进行分析，通过调整建筑间距、平面布局、道路退距等方式，降低住房之间和周边噪声源的干扰；③住宅布局避免视线干扰，主要居室的直视距离≥18m，同一建筑内不同住户无对视；④每套住宅至少有1个居住空间满足当地日照标准，对应窗洞开口宽度≥1.5m；⑤立面上层间线脚、挑檐、壁柱等构件不应遮挡视线、采光，影响建筑日照的构件应参与日照模拟计算。</w:t>
            </w:r>
          </w:p>
        </w:tc>
        <w:tc>
          <w:tcPr>
            <w:tcW w:w="1619" w:type="dxa"/>
            <w:vAlign w:val="center"/>
          </w:tcPr>
          <w:p w14:paraId="562A9D36">
            <w:pPr>
              <w:spacing w:after="0" w:line="240" w:lineRule="auto"/>
              <w:jc w:val="center"/>
            </w:pPr>
            <w:r>
              <w:rPr>
                <w:rFonts w:ascii="仿宋_GB2312" w:hAnsi="仿宋_GB2312" w:eastAsia="仿宋_GB2312"/>
                <w:b w:val="0"/>
                <w:sz w:val="18"/>
              </w:rPr>
              <w:t>□符合 □不符合</w:t>
            </w:r>
          </w:p>
        </w:tc>
        <w:tc>
          <w:tcPr>
            <w:tcW w:w="1761" w:type="dxa"/>
            <w:vAlign w:val="center"/>
          </w:tcPr>
          <w:p w14:paraId="6C9089C5">
            <w:pPr>
              <w:spacing w:after="0" w:line="240" w:lineRule="auto"/>
            </w:pPr>
          </w:p>
        </w:tc>
      </w:tr>
      <w:tr w14:paraId="4AEC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27EEA5A">
            <w:pPr>
              <w:spacing w:after="0" w:line="240" w:lineRule="auto"/>
              <w:jc w:val="center"/>
            </w:pPr>
            <w:r>
              <w:rPr>
                <w:rFonts w:ascii="仿宋_GB2312" w:hAnsi="仿宋_GB2312" w:eastAsia="仿宋_GB2312"/>
                <w:b w:val="0"/>
                <w:sz w:val="18"/>
              </w:rPr>
              <w:t>2</w:t>
            </w:r>
          </w:p>
        </w:tc>
        <w:tc>
          <w:tcPr>
            <w:tcW w:w="10340" w:type="dxa"/>
            <w:vAlign w:val="center"/>
          </w:tcPr>
          <w:p w14:paraId="18C7DCB0">
            <w:pPr>
              <w:spacing w:after="0" w:line="240" w:lineRule="auto"/>
            </w:pPr>
            <w:r>
              <w:rPr>
                <w:rFonts w:ascii="仿宋_GB2312" w:hAnsi="仿宋_GB2312" w:eastAsia="仿宋_GB2312"/>
                <w:b w:val="0"/>
                <w:sz w:val="18"/>
              </w:rPr>
              <w:t>6层及以下住宅绿地率≥30%，6层以上≥35%；集中绿地宽度≥8m，≥1/3面积在建筑日照阴影线外。</w:t>
            </w:r>
          </w:p>
        </w:tc>
        <w:tc>
          <w:tcPr>
            <w:tcW w:w="1619" w:type="dxa"/>
            <w:vAlign w:val="center"/>
          </w:tcPr>
          <w:p w14:paraId="71EF788E">
            <w:pPr>
              <w:spacing w:after="0" w:line="240" w:lineRule="auto"/>
              <w:jc w:val="center"/>
            </w:pPr>
            <w:r>
              <w:rPr>
                <w:rFonts w:ascii="仿宋_GB2312" w:hAnsi="仿宋_GB2312" w:eastAsia="仿宋_GB2312"/>
                <w:b w:val="0"/>
                <w:sz w:val="18"/>
              </w:rPr>
              <w:t>□符合 □不符合</w:t>
            </w:r>
          </w:p>
        </w:tc>
        <w:tc>
          <w:tcPr>
            <w:tcW w:w="1761" w:type="dxa"/>
            <w:vAlign w:val="center"/>
          </w:tcPr>
          <w:p w14:paraId="63DF7E9E">
            <w:pPr>
              <w:spacing w:after="0" w:line="240" w:lineRule="auto"/>
            </w:pPr>
          </w:p>
        </w:tc>
      </w:tr>
      <w:tr w14:paraId="50DC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41F6702">
            <w:pPr>
              <w:spacing w:after="0" w:line="240" w:lineRule="auto"/>
              <w:jc w:val="center"/>
            </w:pPr>
            <w:r>
              <w:rPr>
                <w:rFonts w:ascii="仿宋_GB2312" w:hAnsi="仿宋_GB2312" w:eastAsia="仿宋_GB2312"/>
                <w:b w:val="0"/>
                <w:sz w:val="18"/>
              </w:rPr>
              <w:t>3</w:t>
            </w:r>
          </w:p>
        </w:tc>
        <w:tc>
          <w:tcPr>
            <w:tcW w:w="10340" w:type="dxa"/>
            <w:vAlign w:val="center"/>
          </w:tcPr>
          <w:p w14:paraId="4541B314">
            <w:pPr>
              <w:spacing w:after="0" w:line="240" w:lineRule="auto"/>
            </w:pPr>
            <w:r>
              <w:rPr>
                <w:rFonts w:ascii="仿宋_GB2312" w:hAnsi="仿宋_GB2312" w:eastAsia="仿宋_GB2312"/>
                <w:b w:val="0"/>
                <w:sz w:val="18"/>
              </w:rPr>
              <w:t>配套设施应符合下列要求：①集中绿地中应设置健身运动场所及设施、老年人和儿童活动、宠物活动等多样化活动场地及设施；②设置保洁物业服务人员休息室，并预留保洁服务取水点和取电点、保洁设备充电区域，休息室宜自然通风；③垃圾运输车通行流线避开住户主要人行流线；④垃圾房、垃圾转运站应设置独立的排风、排水系统；地上垃圾房、垃圾转运站应设置于主导风向的下风向，周围设置景观绿化遮蔽措施；⑤地上垃圾收集点服务半径≤50m；收集容器应具有自封闭功能，并与周围景观协调，不正对单元出入口、主要居室外窗，与建筑保持3m以上的卫生距离；⑥户外预装式变电站、燃气调压站、出地面管井等设施不应占用居住区绿地，并应结合景观设计进行遮蔽处理。</w:t>
            </w:r>
          </w:p>
        </w:tc>
        <w:tc>
          <w:tcPr>
            <w:tcW w:w="1619" w:type="dxa"/>
            <w:vAlign w:val="center"/>
          </w:tcPr>
          <w:p w14:paraId="3341128C">
            <w:pPr>
              <w:spacing w:after="0" w:line="240" w:lineRule="auto"/>
              <w:jc w:val="center"/>
            </w:pPr>
            <w:r>
              <w:rPr>
                <w:rFonts w:ascii="仿宋_GB2312" w:hAnsi="仿宋_GB2312" w:eastAsia="仿宋_GB2312"/>
                <w:b w:val="0"/>
                <w:sz w:val="18"/>
              </w:rPr>
              <w:t>□符合 □不符合</w:t>
            </w:r>
          </w:p>
        </w:tc>
        <w:tc>
          <w:tcPr>
            <w:tcW w:w="1761" w:type="dxa"/>
            <w:vAlign w:val="center"/>
          </w:tcPr>
          <w:p w14:paraId="7534FEAE">
            <w:pPr>
              <w:spacing w:after="0" w:line="240" w:lineRule="auto"/>
            </w:pPr>
          </w:p>
        </w:tc>
      </w:tr>
      <w:tr w14:paraId="1725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E5A9576">
            <w:pPr>
              <w:spacing w:after="0" w:line="240" w:lineRule="auto"/>
              <w:jc w:val="center"/>
            </w:pPr>
            <w:r>
              <w:rPr>
                <w:rFonts w:ascii="仿宋_GB2312" w:hAnsi="仿宋_GB2312" w:eastAsia="仿宋_GB2312"/>
                <w:b w:val="0"/>
                <w:sz w:val="18"/>
              </w:rPr>
              <w:t>4</w:t>
            </w:r>
          </w:p>
        </w:tc>
        <w:tc>
          <w:tcPr>
            <w:tcW w:w="10340" w:type="dxa"/>
            <w:vAlign w:val="center"/>
          </w:tcPr>
          <w:p w14:paraId="7A9DE0BD">
            <w:pPr>
              <w:spacing w:after="0" w:line="240" w:lineRule="auto"/>
            </w:pPr>
            <w:r>
              <w:rPr>
                <w:rFonts w:ascii="仿宋_GB2312" w:hAnsi="仿宋_GB2312" w:eastAsia="仿宋_GB2312"/>
                <w:b w:val="0"/>
                <w:sz w:val="18"/>
              </w:rPr>
              <w:t>植物配置应满足下列要求：①采用无毒害、易维护的乔木、灌木、草坪相结合的复层绿化方式，种植区域覆土深度不应小于1.20m；②草坪面积（乔灌木树冠投影面积内的草坪不计入）≥20%，常绿乔灌木面积≥30%，乔木数量≥3株/100m²绿地面积；③苗木种植应错落有致，且不应影响低层住户的采光。</w:t>
            </w:r>
          </w:p>
        </w:tc>
        <w:tc>
          <w:tcPr>
            <w:tcW w:w="1619" w:type="dxa"/>
            <w:vAlign w:val="center"/>
          </w:tcPr>
          <w:p w14:paraId="3125B058">
            <w:pPr>
              <w:spacing w:after="0" w:line="240" w:lineRule="auto"/>
              <w:jc w:val="center"/>
            </w:pPr>
            <w:r>
              <w:rPr>
                <w:rFonts w:ascii="仿宋_GB2312" w:hAnsi="仿宋_GB2312" w:eastAsia="仿宋_GB2312"/>
                <w:b w:val="0"/>
                <w:sz w:val="18"/>
              </w:rPr>
              <w:t>□符合 □不符合</w:t>
            </w:r>
          </w:p>
        </w:tc>
        <w:tc>
          <w:tcPr>
            <w:tcW w:w="1761" w:type="dxa"/>
            <w:vAlign w:val="center"/>
          </w:tcPr>
          <w:p w14:paraId="33D9F7FB">
            <w:pPr>
              <w:spacing w:after="0" w:line="240" w:lineRule="auto"/>
            </w:pPr>
          </w:p>
        </w:tc>
      </w:tr>
      <w:tr w14:paraId="3282B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83760C7">
            <w:pPr>
              <w:spacing w:after="0" w:line="240" w:lineRule="auto"/>
              <w:jc w:val="center"/>
            </w:pPr>
            <w:r>
              <w:rPr>
                <w:rFonts w:ascii="仿宋_GB2312" w:hAnsi="仿宋_GB2312" w:eastAsia="仿宋_GB2312"/>
                <w:b w:val="0"/>
                <w:sz w:val="18"/>
              </w:rPr>
              <w:t>5</w:t>
            </w:r>
          </w:p>
        </w:tc>
        <w:tc>
          <w:tcPr>
            <w:tcW w:w="10340" w:type="dxa"/>
            <w:vAlign w:val="center"/>
          </w:tcPr>
          <w:p w14:paraId="4364B1CF">
            <w:pPr>
              <w:spacing w:after="0" w:line="240" w:lineRule="auto"/>
            </w:pPr>
            <w:r>
              <w:rPr>
                <w:rFonts w:ascii="仿宋_GB2312" w:hAnsi="仿宋_GB2312" w:eastAsia="仿宋_GB2312"/>
                <w:b w:val="0"/>
                <w:sz w:val="18"/>
              </w:rPr>
              <w:t>套型应功能齐全、布局合理，并满足居住者多样化的生活需求，并应符合下列规定：①层高≥3.00m，设有户式中央空调系统时层高≥3.15m；②起居室（厅）至少一侧墙面的直线长度≥3.00m；起居室（厅）空间宜与餐厅、书房等空间整体设计，应减少直接开向起居室（厅）的门洞数量，形成灵活可变的大空间；③套内应结合阳台设置晾晒空间，无阳台时，应预留烘干机的安装条件。</w:t>
            </w:r>
          </w:p>
        </w:tc>
        <w:tc>
          <w:tcPr>
            <w:tcW w:w="1619" w:type="dxa"/>
            <w:vAlign w:val="center"/>
          </w:tcPr>
          <w:p w14:paraId="1AF75C75">
            <w:pPr>
              <w:spacing w:after="0" w:line="240" w:lineRule="auto"/>
              <w:jc w:val="center"/>
            </w:pPr>
            <w:r>
              <w:rPr>
                <w:rFonts w:ascii="仿宋_GB2312" w:hAnsi="仿宋_GB2312" w:eastAsia="仿宋_GB2312"/>
                <w:b w:val="0"/>
                <w:sz w:val="18"/>
              </w:rPr>
              <w:t>□符合 □不符合</w:t>
            </w:r>
          </w:p>
        </w:tc>
        <w:tc>
          <w:tcPr>
            <w:tcW w:w="1761" w:type="dxa"/>
            <w:vAlign w:val="center"/>
          </w:tcPr>
          <w:p w14:paraId="0E4C8F09">
            <w:pPr>
              <w:spacing w:after="0" w:line="240" w:lineRule="auto"/>
            </w:pPr>
          </w:p>
        </w:tc>
      </w:tr>
      <w:tr w14:paraId="7A0D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3595B3D">
            <w:pPr>
              <w:spacing w:after="0" w:line="240" w:lineRule="auto"/>
              <w:jc w:val="center"/>
            </w:pPr>
            <w:r>
              <w:rPr>
                <w:rFonts w:ascii="仿宋_GB2312" w:hAnsi="仿宋_GB2312" w:eastAsia="仿宋_GB2312"/>
                <w:b w:val="0"/>
                <w:sz w:val="18"/>
              </w:rPr>
              <w:t>6</w:t>
            </w:r>
          </w:p>
        </w:tc>
        <w:tc>
          <w:tcPr>
            <w:tcW w:w="10340" w:type="dxa"/>
            <w:vAlign w:val="center"/>
          </w:tcPr>
          <w:p w14:paraId="28C3BABB">
            <w:pPr>
              <w:spacing w:after="0" w:line="240" w:lineRule="auto"/>
            </w:pPr>
            <w:r>
              <w:rPr>
                <w:rFonts w:ascii="仿宋_GB2312" w:hAnsi="仿宋_GB2312" w:eastAsia="仿宋_GB2312"/>
                <w:b w:val="0"/>
                <w:sz w:val="18"/>
              </w:rPr>
              <w:t>卧室应符合下列规定：①空间应规则方正，短边净尺寸≥2.20m，每户至少应有一间能容纳1.80m双人床的卧室；②应预留相应的衣橱空间，衣橱长度≥1.50m；③应避免将床头正对卫生间门。</w:t>
            </w:r>
          </w:p>
        </w:tc>
        <w:tc>
          <w:tcPr>
            <w:tcW w:w="1619" w:type="dxa"/>
            <w:vAlign w:val="center"/>
          </w:tcPr>
          <w:p w14:paraId="575FF581">
            <w:pPr>
              <w:spacing w:after="0" w:line="240" w:lineRule="auto"/>
              <w:jc w:val="center"/>
            </w:pPr>
            <w:r>
              <w:rPr>
                <w:rFonts w:ascii="仿宋_GB2312" w:hAnsi="仿宋_GB2312" w:eastAsia="仿宋_GB2312"/>
                <w:b w:val="0"/>
                <w:sz w:val="18"/>
              </w:rPr>
              <w:t>□符合 □不符合</w:t>
            </w:r>
          </w:p>
        </w:tc>
        <w:tc>
          <w:tcPr>
            <w:tcW w:w="1761" w:type="dxa"/>
            <w:vAlign w:val="center"/>
          </w:tcPr>
          <w:p w14:paraId="65232908">
            <w:pPr>
              <w:spacing w:after="0" w:line="240" w:lineRule="auto"/>
            </w:pPr>
          </w:p>
        </w:tc>
      </w:tr>
      <w:tr w14:paraId="6EB9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437F1A2">
            <w:pPr>
              <w:spacing w:after="0" w:line="240" w:lineRule="auto"/>
              <w:jc w:val="center"/>
            </w:pPr>
            <w:r>
              <w:rPr>
                <w:rFonts w:ascii="仿宋_GB2312" w:hAnsi="仿宋_GB2312" w:eastAsia="仿宋_GB2312"/>
                <w:b w:val="0"/>
                <w:sz w:val="18"/>
              </w:rPr>
              <w:t>7</w:t>
            </w:r>
          </w:p>
        </w:tc>
        <w:tc>
          <w:tcPr>
            <w:tcW w:w="10340" w:type="dxa"/>
            <w:vAlign w:val="center"/>
          </w:tcPr>
          <w:p w14:paraId="5F88F301">
            <w:pPr>
              <w:spacing w:after="0" w:line="240" w:lineRule="auto"/>
            </w:pPr>
            <w:r>
              <w:rPr>
                <w:rFonts w:ascii="仿宋_GB2312" w:hAnsi="仿宋_GB2312" w:eastAsia="仿宋_GB2312"/>
                <w:b w:val="0"/>
                <w:sz w:val="18"/>
              </w:rPr>
              <w:t>厨房、卫生间应满足下列要求：①厨房应按照洗、切、烧操作流程布置，单侧操作台长度≥1.8m；②厨房单面布置设备时台前操作空间净尺寸≥1.00m，双面布置设备时操作空间净宽≥1.20m，临窗设置洗菜盆时，应避免水龙头影响窗扇开启；③每个卫生间使用面积≥3.00m²；④厨房和卫生间应设机械排风系统。</w:t>
            </w:r>
          </w:p>
        </w:tc>
        <w:tc>
          <w:tcPr>
            <w:tcW w:w="1619" w:type="dxa"/>
            <w:vAlign w:val="center"/>
          </w:tcPr>
          <w:p w14:paraId="212C4E19">
            <w:pPr>
              <w:spacing w:after="0" w:line="240" w:lineRule="auto"/>
              <w:jc w:val="center"/>
            </w:pPr>
            <w:r>
              <w:rPr>
                <w:rFonts w:ascii="仿宋_GB2312" w:hAnsi="仿宋_GB2312" w:eastAsia="仿宋_GB2312"/>
                <w:b w:val="0"/>
                <w:sz w:val="18"/>
              </w:rPr>
              <w:t>□符合 □不符合</w:t>
            </w:r>
          </w:p>
        </w:tc>
        <w:tc>
          <w:tcPr>
            <w:tcW w:w="1761" w:type="dxa"/>
            <w:vAlign w:val="center"/>
          </w:tcPr>
          <w:p w14:paraId="29F0F16B">
            <w:pPr>
              <w:spacing w:after="0" w:line="240" w:lineRule="auto"/>
              <w:jc w:val="center"/>
              <w:rPr>
                <w:rFonts w:hint="default" w:eastAsia="宋体"/>
                <w:lang w:val="en-US" w:eastAsia="zh-CN"/>
              </w:rPr>
            </w:pPr>
          </w:p>
        </w:tc>
      </w:tr>
      <w:tr w14:paraId="5D93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2BF52C2">
            <w:pPr>
              <w:spacing w:after="0" w:line="240" w:lineRule="auto"/>
              <w:jc w:val="center"/>
            </w:pPr>
            <w:r>
              <w:rPr>
                <w:rFonts w:ascii="仿宋_GB2312" w:hAnsi="仿宋_GB2312" w:eastAsia="仿宋_GB2312"/>
                <w:b w:val="0"/>
                <w:sz w:val="18"/>
              </w:rPr>
              <w:t>8</w:t>
            </w:r>
          </w:p>
        </w:tc>
        <w:tc>
          <w:tcPr>
            <w:tcW w:w="10340" w:type="dxa"/>
            <w:vAlign w:val="center"/>
          </w:tcPr>
          <w:p w14:paraId="5F4DE203">
            <w:pPr>
              <w:spacing w:after="0" w:line="240" w:lineRule="auto"/>
            </w:pPr>
            <w:r>
              <w:rPr>
                <w:rFonts w:ascii="仿宋_GB2312" w:hAnsi="仿宋_GB2312" w:eastAsia="仿宋_GB2312"/>
                <w:b w:val="0"/>
                <w:sz w:val="18"/>
              </w:rPr>
              <w:t>空调室外机应符合下列规定：①户式集中空调室外机平台不应设于卧室外侧；②室外机围护格栅的孔隙率≥70%，室外机与围护格栅、百叶或墙体的间距≥0.15m；当室外机位设有雨水管时，间距应加大。</w:t>
            </w:r>
          </w:p>
        </w:tc>
        <w:tc>
          <w:tcPr>
            <w:tcW w:w="1619" w:type="dxa"/>
            <w:vAlign w:val="center"/>
          </w:tcPr>
          <w:p w14:paraId="45D06D7F">
            <w:pPr>
              <w:spacing w:after="0" w:line="240" w:lineRule="auto"/>
              <w:jc w:val="center"/>
            </w:pPr>
            <w:r>
              <w:rPr>
                <w:rFonts w:ascii="仿宋_GB2312" w:hAnsi="仿宋_GB2312" w:eastAsia="仿宋_GB2312"/>
                <w:b w:val="0"/>
                <w:sz w:val="18"/>
              </w:rPr>
              <w:t>□符合 □不符合</w:t>
            </w:r>
          </w:p>
        </w:tc>
        <w:tc>
          <w:tcPr>
            <w:tcW w:w="1761" w:type="dxa"/>
            <w:vAlign w:val="center"/>
          </w:tcPr>
          <w:p w14:paraId="355F0E48">
            <w:pPr>
              <w:spacing w:after="0" w:line="240" w:lineRule="auto"/>
            </w:pPr>
          </w:p>
        </w:tc>
      </w:tr>
      <w:tr w14:paraId="0C796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9CBCDBB">
            <w:pPr>
              <w:spacing w:after="0" w:line="240" w:lineRule="auto"/>
              <w:jc w:val="center"/>
            </w:pPr>
            <w:r>
              <w:rPr>
                <w:rFonts w:ascii="仿宋_GB2312" w:hAnsi="仿宋_GB2312" w:eastAsia="仿宋_GB2312"/>
                <w:b w:val="0"/>
                <w:sz w:val="18"/>
              </w:rPr>
              <w:t>9</w:t>
            </w:r>
          </w:p>
        </w:tc>
        <w:tc>
          <w:tcPr>
            <w:tcW w:w="10340" w:type="dxa"/>
            <w:vAlign w:val="center"/>
          </w:tcPr>
          <w:p w14:paraId="4BDD95D7">
            <w:pPr>
              <w:spacing w:after="0" w:line="240" w:lineRule="auto"/>
            </w:pPr>
            <w:r>
              <w:rPr>
                <w:rFonts w:ascii="仿宋_GB2312" w:hAnsi="仿宋_GB2312" w:eastAsia="仿宋_GB2312"/>
                <w:b w:val="0"/>
                <w:sz w:val="18"/>
              </w:rPr>
              <w:t>给水排水设计应符合下列规定：①卫生器具的水效等级应达到2级；②公共走廊、候梯厅等公共空间内的消火栓暗装；③满足现行国家标准《绿色建筑评价标准》GB/T 50378中的相关要求；④10层及10层以上住宅卫生间的生活污水立管应设置通气立管，或采用特殊单立管的排水形式；⑤卫生间干区地漏水封处应有补充水封水量的措施；⑥管井内的地漏应采用密闭地漏；⑦地漏应采用能防止溢流和干涸的地漏。</w:t>
            </w:r>
          </w:p>
        </w:tc>
        <w:tc>
          <w:tcPr>
            <w:tcW w:w="1619" w:type="dxa"/>
            <w:vAlign w:val="center"/>
          </w:tcPr>
          <w:p w14:paraId="5FE7D72F">
            <w:pPr>
              <w:spacing w:after="0" w:line="240" w:lineRule="auto"/>
              <w:jc w:val="center"/>
            </w:pPr>
            <w:r>
              <w:rPr>
                <w:rFonts w:ascii="仿宋_GB2312" w:hAnsi="仿宋_GB2312" w:eastAsia="仿宋_GB2312"/>
                <w:b w:val="0"/>
                <w:sz w:val="18"/>
              </w:rPr>
              <w:t>□符合 □不符合</w:t>
            </w:r>
          </w:p>
        </w:tc>
        <w:tc>
          <w:tcPr>
            <w:tcW w:w="1761" w:type="dxa"/>
            <w:vAlign w:val="center"/>
          </w:tcPr>
          <w:p w14:paraId="4C55CD79">
            <w:pPr>
              <w:spacing w:after="0" w:line="240" w:lineRule="auto"/>
            </w:pPr>
          </w:p>
        </w:tc>
      </w:tr>
      <w:tr w14:paraId="4F26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41DF944">
            <w:pPr>
              <w:spacing w:after="0" w:line="240" w:lineRule="auto"/>
              <w:jc w:val="center"/>
            </w:pPr>
            <w:r>
              <w:rPr>
                <w:rFonts w:ascii="仿宋_GB2312" w:hAnsi="仿宋_GB2312" w:eastAsia="仿宋_GB2312"/>
                <w:b w:val="0"/>
                <w:sz w:val="18"/>
              </w:rPr>
              <w:t>10</w:t>
            </w:r>
          </w:p>
        </w:tc>
        <w:tc>
          <w:tcPr>
            <w:tcW w:w="10340" w:type="dxa"/>
            <w:vAlign w:val="center"/>
          </w:tcPr>
          <w:p w14:paraId="3DDDA04E">
            <w:pPr>
              <w:spacing w:after="0" w:line="240" w:lineRule="auto"/>
            </w:pPr>
            <w:r>
              <w:rPr>
                <w:rFonts w:ascii="仿宋_GB2312" w:hAnsi="仿宋_GB2312" w:eastAsia="仿宋_GB2312"/>
                <w:b w:val="0"/>
                <w:sz w:val="18"/>
              </w:rPr>
              <w:t>暖通空调设计应符合下列规定：①卧室、起居室（厅）冬季≥20℃，夏季≤26℃；卫生间冬季≥18℃，厨房冬季≥18℃；②地面辐射供暖供冷系统室温控制采用分环路控制方式；③采用多联机、集中空调、半集中空调系统时，设置新风系统；④起居室（厅）和卧室的空调送风口不正对沙发和床头。</w:t>
            </w:r>
          </w:p>
        </w:tc>
        <w:tc>
          <w:tcPr>
            <w:tcW w:w="1619" w:type="dxa"/>
            <w:vAlign w:val="center"/>
          </w:tcPr>
          <w:p w14:paraId="46635D30">
            <w:pPr>
              <w:spacing w:after="0" w:line="240" w:lineRule="auto"/>
              <w:jc w:val="center"/>
            </w:pPr>
            <w:r>
              <w:rPr>
                <w:rFonts w:ascii="仿宋_GB2312" w:hAnsi="仿宋_GB2312" w:eastAsia="仿宋_GB2312"/>
                <w:b w:val="0"/>
                <w:sz w:val="18"/>
              </w:rPr>
              <w:t>□符合 □不符合</w:t>
            </w:r>
          </w:p>
        </w:tc>
        <w:tc>
          <w:tcPr>
            <w:tcW w:w="1761" w:type="dxa"/>
            <w:vAlign w:val="center"/>
          </w:tcPr>
          <w:p w14:paraId="3C0A36FB">
            <w:pPr>
              <w:spacing w:after="0" w:line="240" w:lineRule="auto"/>
            </w:pPr>
          </w:p>
        </w:tc>
      </w:tr>
      <w:tr w14:paraId="4C88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A04C0CF">
            <w:pPr>
              <w:spacing w:after="0" w:line="240" w:lineRule="auto"/>
              <w:jc w:val="center"/>
            </w:pPr>
            <w:r>
              <w:rPr>
                <w:rFonts w:ascii="仿宋_GB2312" w:hAnsi="仿宋_GB2312" w:eastAsia="仿宋_GB2312"/>
                <w:b w:val="0"/>
                <w:sz w:val="18"/>
              </w:rPr>
              <w:t>11</w:t>
            </w:r>
          </w:p>
        </w:tc>
        <w:tc>
          <w:tcPr>
            <w:tcW w:w="10340" w:type="dxa"/>
            <w:vAlign w:val="center"/>
          </w:tcPr>
          <w:p w14:paraId="01DEB048">
            <w:pPr>
              <w:spacing w:after="0" w:line="240" w:lineRule="auto"/>
            </w:pPr>
            <w:r>
              <w:rPr>
                <w:rFonts w:ascii="仿宋_GB2312" w:hAnsi="仿宋_GB2312" w:eastAsia="仿宋_GB2312"/>
                <w:b w:val="0"/>
                <w:sz w:val="18"/>
              </w:rPr>
              <w:t>每套住房建筑面积S≤120m²时的用电负荷≥8kW，120＜S≤150m²时的用电负荷≥12kW，S＞150m²时的用电负荷≥16kW。</w:t>
            </w:r>
          </w:p>
        </w:tc>
        <w:tc>
          <w:tcPr>
            <w:tcW w:w="1619" w:type="dxa"/>
            <w:vAlign w:val="center"/>
          </w:tcPr>
          <w:p w14:paraId="3F25D56C">
            <w:pPr>
              <w:spacing w:after="0" w:line="240" w:lineRule="auto"/>
              <w:jc w:val="center"/>
            </w:pPr>
            <w:r>
              <w:rPr>
                <w:rFonts w:ascii="仿宋_GB2312" w:hAnsi="仿宋_GB2312" w:eastAsia="仿宋_GB2312"/>
                <w:b w:val="0"/>
                <w:sz w:val="18"/>
              </w:rPr>
              <w:t>□符合 □不符合</w:t>
            </w:r>
          </w:p>
        </w:tc>
        <w:tc>
          <w:tcPr>
            <w:tcW w:w="1761" w:type="dxa"/>
            <w:vAlign w:val="center"/>
          </w:tcPr>
          <w:p w14:paraId="6236A16D">
            <w:pPr>
              <w:spacing w:after="0" w:line="240" w:lineRule="auto"/>
            </w:pPr>
          </w:p>
        </w:tc>
      </w:tr>
      <w:tr w14:paraId="52D9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ADDDE9E">
            <w:pPr>
              <w:spacing w:after="0" w:line="240" w:lineRule="auto"/>
              <w:jc w:val="center"/>
            </w:pPr>
            <w:r>
              <w:rPr>
                <w:rFonts w:ascii="仿宋_GB2312" w:hAnsi="仿宋_GB2312" w:eastAsia="仿宋_GB2312"/>
                <w:b w:val="0"/>
                <w:sz w:val="18"/>
              </w:rPr>
              <w:t>12</w:t>
            </w:r>
          </w:p>
        </w:tc>
        <w:tc>
          <w:tcPr>
            <w:tcW w:w="10340" w:type="dxa"/>
            <w:vAlign w:val="center"/>
          </w:tcPr>
          <w:p w14:paraId="02F5A51B">
            <w:pPr>
              <w:spacing w:after="0" w:line="240" w:lineRule="auto"/>
            </w:pPr>
            <w:r>
              <w:rPr>
                <w:rFonts w:ascii="仿宋_GB2312" w:hAnsi="仿宋_GB2312" w:eastAsia="仿宋_GB2312"/>
                <w:b w:val="0"/>
                <w:sz w:val="18"/>
              </w:rPr>
              <w:t>厨房和卫生间连接排气道的防火止回阀应采用贯通式、倒流式、变压拔气式。</w:t>
            </w:r>
          </w:p>
        </w:tc>
        <w:tc>
          <w:tcPr>
            <w:tcW w:w="1619" w:type="dxa"/>
            <w:vAlign w:val="center"/>
          </w:tcPr>
          <w:p w14:paraId="194C67E2">
            <w:pPr>
              <w:spacing w:after="0" w:line="240" w:lineRule="auto"/>
              <w:jc w:val="center"/>
            </w:pPr>
            <w:r>
              <w:rPr>
                <w:rFonts w:ascii="仿宋_GB2312" w:hAnsi="仿宋_GB2312" w:eastAsia="仿宋_GB2312"/>
                <w:b w:val="0"/>
                <w:sz w:val="18"/>
              </w:rPr>
              <w:t>□符合 □不符合</w:t>
            </w:r>
          </w:p>
        </w:tc>
        <w:tc>
          <w:tcPr>
            <w:tcW w:w="1761" w:type="dxa"/>
            <w:vAlign w:val="center"/>
          </w:tcPr>
          <w:p w14:paraId="73D5B729">
            <w:pPr>
              <w:spacing w:after="0" w:line="240" w:lineRule="auto"/>
            </w:pPr>
          </w:p>
        </w:tc>
      </w:tr>
      <w:tr w14:paraId="6354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7C44067">
            <w:pPr>
              <w:spacing w:after="0" w:line="240" w:lineRule="auto"/>
              <w:jc w:val="center"/>
            </w:pPr>
            <w:r>
              <w:rPr>
                <w:rFonts w:ascii="仿宋_GB2312" w:hAnsi="仿宋_GB2312" w:eastAsia="仿宋_GB2312"/>
                <w:b w:val="0"/>
                <w:sz w:val="18"/>
              </w:rPr>
              <w:t>13</w:t>
            </w:r>
          </w:p>
        </w:tc>
        <w:tc>
          <w:tcPr>
            <w:tcW w:w="10340" w:type="dxa"/>
            <w:vAlign w:val="center"/>
          </w:tcPr>
          <w:p w14:paraId="7918D9E4">
            <w:pPr>
              <w:spacing w:after="0" w:line="240" w:lineRule="auto"/>
            </w:pPr>
            <w:r>
              <w:rPr>
                <w:rFonts w:ascii="仿宋_GB2312" w:hAnsi="仿宋_GB2312" w:eastAsia="仿宋_GB2312"/>
                <w:b w:val="0"/>
                <w:sz w:val="18"/>
              </w:rPr>
              <w:t>室内氨、甲醛等污染物浓度≤《室内空气质量标准》GB/T 18883限值的90%，PM2.5日均浓度≤0.045mg/m³，PM10日均浓度≤0.100mg/m³。</w:t>
            </w:r>
          </w:p>
        </w:tc>
        <w:tc>
          <w:tcPr>
            <w:tcW w:w="1619" w:type="dxa"/>
            <w:vAlign w:val="center"/>
          </w:tcPr>
          <w:p w14:paraId="43CC7D96">
            <w:pPr>
              <w:spacing w:after="0" w:line="240" w:lineRule="auto"/>
              <w:jc w:val="center"/>
            </w:pPr>
            <w:r>
              <w:rPr>
                <w:rFonts w:ascii="仿宋_GB2312" w:hAnsi="仿宋_GB2312" w:eastAsia="仿宋_GB2312"/>
                <w:b w:val="0"/>
                <w:sz w:val="18"/>
              </w:rPr>
              <w:t>□符合 □不符合</w:t>
            </w:r>
          </w:p>
        </w:tc>
        <w:tc>
          <w:tcPr>
            <w:tcW w:w="1761" w:type="dxa"/>
            <w:vAlign w:val="center"/>
          </w:tcPr>
          <w:p w14:paraId="5E20E52F">
            <w:pPr>
              <w:spacing w:after="0" w:line="240" w:lineRule="auto"/>
            </w:pPr>
          </w:p>
        </w:tc>
      </w:tr>
      <w:tr w14:paraId="2D10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BBEE30B">
            <w:pPr>
              <w:spacing w:after="0" w:line="240" w:lineRule="auto"/>
              <w:jc w:val="center"/>
            </w:pPr>
            <w:r>
              <w:rPr>
                <w:rFonts w:ascii="仿宋_GB2312" w:hAnsi="仿宋_GB2312" w:eastAsia="仿宋_GB2312"/>
                <w:b w:val="0"/>
                <w:sz w:val="18"/>
              </w:rPr>
              <w:t>14</w:t>
            </w:r>
          </w:p>
        </w:tc>
        <w:tc>
          <w:tcPr>
            <w:tcW w:w="10340" w:type="dxa"/>
            <w:vAlign w:val="center"/>
          </w:tcPr>
          <w:p w14:paraId="4267CCC2">
            <w:pPr>
              <w:spacing w:after="0" w:line="240" w:lineRule="auto"/>
            </w:pPr>
            <w:r>
              <w:rPr>
                <w:rFonts w:ascii="仿宋_GB2312" w:hAnsi="仿宋_GB2312" w:eastAsia="仿宋_GB2312"/>
                <w:b w:val="0"/>
                <w:sz w:val="18"/>
              </w:rPr>
              <w:t>地下车库应设置自动防风卷帘门。</w:t>
            </w:r>
          </w:p>
        </w:tc>
        <w:tc>
          <w:tcPr>
            <w:tcW w:w="1619" w:type="dxa"/>
            <w:vAlign w:val="center"/>
          </w:tcPr>
          <w:p w14:paraId="10BD1915">
            <w:pPr>
              <w:spacing w:after="0" w:line="240" w:lineRule="auto"/>
              <w:jc w:val="center"/>
            </w:pPr>
            <w:r>
              <w:rPr>
                <w:rFonts w:ascii="仿宋_GB2312" w:hAnsi="仿宋_GB2312" w:eastAsia="仿宋_GB2312"/>
                <w:b w:val="0"/>
                <w:sz w:val="18"/>
              </w:rPr>
              <w:t>□符合 □不符合</w:t>
            </w:r>
          </w:p>
        </w:tc>
        <w:tc>
          <w:tcPr>
            <w:tcW w:w="1761" w:type="dxa"/>
            <w:vAlign w:val="center"/>
          </w:tcPr>
          <w:p w14:paraId="717B5895">
            <w:pPr>
              <w:spacing w:after="0" w:line="240" w:lineRule="auto"/>
            </w:pPr>
          </w:p>
        </w:tc>
      </w:tr>
      <w:tr w14:paraId="48B52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CBB21DB">
            <w:pPr>
              <w:spacing w:after="0" w:line="240" w:lineRule="auto"/>
              <w:jc w:val="center"/>
            </w:pPr>
            <w:r>
              <w:rPr>
                <w:rFonts w:ascii="仿宋_GB2312" w:hAnsi="仿宋_GB2312" w:eastAsia="仿宋_GB2312"/>
                <w:b w:val="0"/>
                <w:sz w:val="18"/>
              </w:rPr>
              <w:t>15</w:t>
            </w:r>
          </w:p>
        </w:tc>
        <w:tc>
          <w:tcPr>
            <w:tcW w:w="10340" w:type="dxa"/>
            <w:vAlign w:val="center"/>
          </w:tcPr>
          <w:p w14:paraId="5D667CA6">
            <w:pPr>
              <w:spacing w:after="0" w:line="240" w:lineRule="auto"/>
            </w:pPr>
            <w:r>
              <w:rPr>
                <w:rFonts w:ascii="仿宋_GB2312" w:hAnsi="仿宋_GB2312" w:eastAsia="仿宋_GB2312"/>
                <w:b w:val="0"/>
                <w:sz w:val="18"/>
              </w:rPr>
              <w:t>室内装修材料应符合下列要求：①应满足国家绿色建材标准中对有害物限量的要求；②应采取防腐、防霉、防潮措施，宜选用不易结露、具备防霉防腐性能的饰面材料；木地板周边及有湿气的底层地面需进行可靠的防潮防水处理；木方和毛地板应做防腐处理；采用细木工板或胶合板作为底板时，其底面应涂刷防腐剂；③含有异氰酸盐的聚氨酯产品不得用于室内装饰和现场发泡的保温材料；④不得使用含有石棉、苯的建筑材料和物品；⑤木器漆、防火涂料及饰面材料等的铅含量不得超过90mg/kg。</w:t>
            </w:r>
          </w:p>
        </w:tc>
        <w:tc>
          <w:tcPr>
            <w:tcW w:w="1619" w:type="dxa"/>
            <w:vAlign w:val="center"/>
          </w:tcPr>
          <w:p w14:paraId="4C89E1AA">
            <w:pPr>
              <w:spacing w:after="0" w:line="240" w:lineRule="auto"/>
              <w:jc w:val="center"/>
            </w:pPr>
            <w:r>
              <w:rPr>
                <w:rFonts w:ascii="仿宋_GB2312" w:hAnsi="仿宋_GB2312" w:eastAsia="仿宋_GB2312"/>
                <w:b w:val="0"/>
                <w:sz w:val="18"/>
              </w:rPr>
              <w:t>□符合 □不符合</w:t>
            </w:r>
          </w:p>
        </w:tc>
        <w:tc>
          <w:tcPr>
            <w:tcW w:w="1761" w:type="dxa"/>
            <w:vAlign w:val="center"/>
          </w:tcPr>
          <w:p w14:paraId="2169F186">
            <w:pPr>
              <w:spacing w:after="0" w:line="240" w:lineRule="auto"/>
            </w:pPr>
          </w:p>
        </w:tc>
      </w:tr>
      <w:tr w14:paraId="76FF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947C597">
            <w:pPr>
              <w:spacing w:after="0" w:line="240" w:lineRule="auto"/>
              <w:jc w:val="center"/>
            </w:pPr>
            <w:r>
              <w:rPr>
                <w:rFonts w:ascii="仿宋_GB2312" w:hAnsi="仿宋_GB2312" w:eastAsia="仿宋_GB2312"/>
                <w:b w:val="0"/>
                <w:sz w:val="18"/>
              </w:rPr>
              <w:t>16</w:t>
            </w:r>
          </w:p>
        </w:tc>
        <w:tc>
          <w:tcPr>
            <w:tcW w:w="10340" w:type="dxa"/>
            <w:vAlign w:val="center"/>
          </w:tcPr>
          <w:p w14:paraId="40F98A50">
            <w:pPr>
              <w:spacing w:after="0" w:line="240" w:lineRule="auto"/>
            </w:pPr>
            <w:r>
              <w:rPr>
                <w:rFonts w:ascii="仿宋_GB2312" w:hAnsi="仿宋_GB2312" w:eastAsia="仿宋_GB2312"/>
                <w:b w:val="0"/>
                <w:sz w:val="18"/>
              </w:rPr>
              <w:t>住宅隔声降噪性能不应低于国家标准《住宅项目规范》GB 55038中的要求，并应符合下列要求：①排水立管不得贴邻卧室设置；②排水管道应采取包覆吸声材料、消声垫等降噪措施，排水时卧室内的噪声等效声级≤33dB；③给排水设备应采取消声、隔振、减振等措施，产生振动的设备与管道连接时应采用软连接的方式；④除厨房、卫生间、阳台外，住宅楼板应设厚度≥5mm隔声垫或其他隔声措施，楼地面与墙面交界处设竖向隔声片隔开楼面与墙体；⑤分户墙应采用≥200mm厚混凝土墙体、容重≥1800kg/m³的重质墙或其他能达到规范要求隔声效果的构造措施；⑥分户墙两侧同一位置设备位置应错开，安装时不直接穿透墙体；⑦管线穿过楼板和墙体时，孔洞周边采取密封隔声措施；⑧户门、外窗采取有效隔声措施，临近交通干线的卧室、起居室（厅）外门窗的计权隔声量与交通噪声频谱修正量之和（Rw+Ctr）＞35dB，其他外门窗的计权隔声量与交通噪声频谱修正量之和（Rw+Ctr）≥30dB；⑨地下车库和地下室通风系统送风机和排风机的进、出风口均应设置消声装置。</w:t>
            </w:r>
          </w:p>
        </w:tc>
        <w:tc>
          <w:tcPr>
            <w:tcW w:w="1619" w:type="dxa"/>
            <w:vAlign w:val="center"/>
          </w:tcPr>
          <w:p w14:paraId="7BB7654A">
            <w:pPr>
              <w:spacing w:after="0" w:line="240" w:lineRule="auto"/>
              <w:jc w:val="center"/>
            </w:pPr>
            <w:r>
              <w:rPr>
                <w:rFonts w:ascii="仿宋_GB2312" w:hAnsi="仿宋_GB2312" w:eastAsia="仿宋_GB2312"/>
                <w:b w:val="0"/>
                <w:sz w:val="18"/>
              </w:rPr>
              <w:t>□符合 □不符合</w:t>
            </w:r>
          </w:p>
        </w:tc>
        <w:tc>
          <w:tcPr>
            <w:tcW w:w="1761" w:type="dxa"/>
            <w:vAlign w:val="center"/>
          </w:tcPr>
          <w:p w14:paraId="40497FF1">
            <w:pPr>
              <w:spacing w:after="0" w:line="240" w:lineRule="auto"/>
            </w:pPr>
          </w:p>
        </w:tc>
      </w:tr>
      <w:tr w14:paraId="527B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021E873">
            <w:pPr>
              <w:spacing w:after="0" w:line="240" w:lineRule="auto"/>
              <w:jc w:val="center"/>
            </w:pPr>
            <w:r>
              <w:rPr>
                <w:rFonts w:ascii="仿宋_GB2312" w:hAnsi="仿宋_GB2312" w:eastAsia="仿宋_GB2312"/>
                <w:b w:val="0"/>
                <w:sz w:val="18"/>
              </w:rPr>
              <w:t>17</w:t>
            </w:r>
          </w:p>
        </w:tc>
        <w:tc>
          <w:tcPr>
            <w:tcW w:w="10340" w:type="dxa"/>
            <w:vAlign w:val="center"/>
          </w:tcPr>
          <w:p w14:paraId="3C85282E">
            <w:pPr>
              <w:spacing w:after="0" w:line="240" w:lineRule="auto"/>
            </w:pPr>
            <w:r>
              <w:rPr>
                <w:rFonts w:ascii="仿宋_GB2312" w:hAnsi="仿宋_GB2312" w:eastAsia="仿宋_GB2312"/>
                <w:b w:val="0"/>
                <w:sz w:val="18"/>
              </w:rPr>
              <w:t>物业服务应达到《住宅物业服务标准》DBJ04/T 292四级及以上标准；其中环境卫生的管理必须达到五级标准。</w:t>
            </w:r>
          </w:p>
        </w:tc>
        <w:tc>
          <w:tcPr>
            <w:tcW w:w="1619" w:type="dxa"/>
            <w:vAlign w:val="center"/>
          </w:tcPr>
          <w:p w14:paraId="14688FB0">
            <w:pPr>
              <w:spacing w:after="0" w:line="240" w:lineRule="auto"/>
              <w:jc w:val="center"/>
            </w:pPr>
            <w:r>
              <w:rPr>
                <w:rFonts w:ascii="仿宋_GB2312" w:hAnsi="仿宋_GB2312" w:eastAsia="仿宋_GB2312"/>
                <w:b w:val="0"/>
                <w:sz w:val="18"/>
              </w:rPr>
              <w:t>□符合 □不符合</w:t>
            </w:r>
          </w:p>
        </w:tc>
        <w:tc>
          <w:tcPr>
            <w:tcW w:w="1761" w:type="dxa"/>
            <w:vAlign w:val="center"/>
          </w:tcPr>
          <w:p w14:paraId="4A776E1A">
            <w:pPr>
              <w:spacing w:after="0" w:line="240" w:lineRule="auto"/>
              <w:jc w:val="center"/>
            </w:pPr>
            <w:r>
              <w:rPr>
                <w:rFonts w:ascii="仿宋_GB2312" w:hAnsi="仿宋_GB2312" w:eastAsia="仿宋_GB2312"/>
                <w:b w:val="0"/>
                <w:sz w:val="18"/>
              </w:rPr>
              <w:t>运行评价</w:t>
            </w:r>
          </w:p>
        </w:tc>
      </w:tr>
    </w:tbl>
    <w:p w14:paraId="654E10EF">
      <w:pPr>
        <w:spacing w:after="0" w:line="240" w:lineRule="auto"/>
        <w:jc w:val="center"/>
        <w:rPr>
          <w:rFonts w:ascii="黑体" w:hAnsi="黑体" w:eastAsia="黑体"/>
          <w:b/>
          <w:sz w:val="24"/>
          <w:szCs w:val="24"/>
        </w:rPr>
      </w:pPr>
      <w:r>
        <w:rPr>
          <w:rFonts w:ascii="楷体_GB2312" w:hAnsi="楷体_GB2312" w:eastAsia="楷体_GB2312"/>
          <w:b/>
          <w:bCs w:val="0"/>
          <w:sz w:val="28"/>
          <w:szCs w:val="28"/>
        </w:rPr>
        <w:t>（二）评分项（共6</w:t>
      </w:r>
      <w:r>
        <w:rPr>
          <w:rFonts w:hint="eastAsia" w:ascii="楷体_GB2312" w:hAnsi="楷体_GB2312" w:eastAsia="楷体_GB2312"/>
          <w:b/>
          <w:bCs w:val="0"/>
          <w:sz w:val="28"/>
          <w:szCs w:val="28"/>
          <w:lang w:val="en-US" w:eastAsia="zh-CN"/>
        </w:rPr>
        <w:t>4</w:t>
      </w:r>
      <w:r>
        <w:rPr>
          <w:rFonts w:ascii="楷体_GB2312" w:hAnsi="楷体_GB2312" w:eastAsia="楷体_GB2312"/>
          <w:b/>
          <w:bCs w:val="0"/>
          <w:sz w:val="28"/>
          <w:szCs w:val="28"/>
        </w:rPr>
        <w:t>条）</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0340"/>
        <w:gridCol w:w="1619"/>
        <w:gridCol w:w="1761"/>
      </w:tblGrid>
      <w:tr w14:paraId="1884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2F2F2"/>
            <w:vAlign w:val="center"/>
          </w:tcPr>
          <w:p w14:paraId="40C254EB">
            <w:pPr>
              <w:spacing w:after="0" w:line="240" w:lineRule="auto"/>
              <w:jc w:val="center"/>
              <w:rPr>
                <w:rFonts w:ascii="黑体" w:hAnsi="黑体" w:eastAsia="黑体"/>
                <w:b/>
                <w:sz w:val="24"/>
                <w:szCs w:val="24"/>
              </w:rPr>
            </w:pPr>
            <w:r>
              <w:rPr>
                <w:rFonts w:ascii="黑体" w:hAnsi="黑体" w:eastAsia="黑体"/>
                <w:b/>
                <w:sz w:val="24"/>
                <w:szCs w:val="24"/>
              </w:rPr>
              <w:t>序号</w:t>
            </w:r>
          </w:p>
        </w:tc>
        <w:tc>
          <w:tcPr>
            <w:tcW w:w="10340" w:type="dxa"/>
            <w:shd w:val="clear" w:color="auto" w:fill="F2F2F2"/>
            <w:vAlign w:val="center"/>
          </w:tcPr>
          <w:p w14:paraId="31E8A3FD">
            <w:pPr>
              <w:spacing w:after="0" w:line="240" w:lineRule="auto"/>
              <w:jc w:val="center"/>
              <w:rPr>
                <w:rFonts w:ascii="黑体" w:hAnsi="黑体" w:eastAsia="黑体"/>
                <w:b/>
                <w:sz w:val="24"/>
                <w:szCs w:val="24"/>
              </w:rPr>
            </w:pPr>
            <w:r>
              <w:rPr>
                <w:rFonts w:ascii="黑体" w:hAnsi="黑体" w:eastAsia="黑体"/>
                <w:b/>
                <w:sz w:val="24"/>
                <w:szCs w:val="24"/>
              </w:rPr>
              <w:t>评分项内容</w:t>
            </w:r>
          </w:p>
        </w:tc>
        <w:tc>
          <w:tcPr>
            <w:tcW w:w="1619" w:type="dxa"/>
            <w:shd w:val="clear" w:color="auto" w:fill="F2F2F2"/>
            <w:vAlign w:val="center"/>
          </w:tcPr>
          <w:p w14:paraId="29EAB3E6">
            <w:pPr>
              <w:spacing w:after="0" w:line="240" w:lineRule="auto"/>
              <w:jc w:val="center"/>
              <w:rPr>
                <w:rFonts w:ascii="黑体" w:hAnsi="黑体" w:eastAsia="黑体"/>
                <w:b/>
                <w:sz w:val="24"/>
                <w:szCs w:val="24"/>
              </w:rPr>
            </w:pPr>
            <w:r>
              <w:rPr>
                <w:rFonts w:ascii="黑体" w:hAnsi="黑体" w:eastAsia="黑体"/>
                <w:b/>
                <w:sz w:val="24"/>
                <w:szCs w:val="24"/>
              </w:rPr>
              <w:t>自查结果</w:t>
            </w:r>
          </w:p>
        </w:tc>
        <w:tc>
          <w:tcPr>
            <w:tcW w:w="1761" w:type="dxa"/>
            <w:shd w:val="clear" w:color="auto" w:fill="F2F2F2"/>
            <w:vAlign w:val="center"/>
          </w:tcPr>
          <w:p w14:paraId="75CA1536">
            <w:pPr>
              <w:spacing w:after="0" w:line="240" w:lineRule="auto"/>
              <w:jc w:val="center"/>
              <w:rPr>
                <w:rFonts w:ascii="黑体" w:hAnsi="黑体" w:eastAsia="黑体"/>
                <w:b/>
                <w:sz w:val="24"/>
                <w:szCs w:val="24"/>
              </w:rPr>
            </w:pPr>
            <w:r>
              <w:rPr>
                <w:rFonts w:ascii="黑体" w:hAnsi="黑体" w:eastAsia="黑体"/>
                <w:b/>
                <w:sz w:val="24"/>
                <w:szCs w:val="24"/>
              </w:rPr>
              <w:t>备注</w:t>
            </w:r>
          </w:p>
        </w:tc>
      </w:tr>
      <w:tr w14:paraId="5AC5D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540EBC8">
            <w:pPr>
              <w:spacing w:after="0" w:line="240" w:lineRule="auto"/>
              <w:jc w:val="center"/>
            </w:pPr>
            <w:r>
              <w:rPr>
                <w:rFonts w:ascii="仿宋_GB2312" w:hAnsi="仿宋_GB2312" w:eastAsia="仿宋_GB2312"/>
                <w:b w:val="0"/>
                <w:sz w:val="18"/>
              </w:rPr>
              <w:t>1</w:t>
            </w:r>
          </w:p>
        </w:tc>
        <w:tc>
          <w:tcPr>
            <w:tcW w:w="10340" w:type="dxa"/>
            <w:vAlign w:val="center"/>
          </w:tcPr>
          <w:p w14:paraId="3E4738B3">
            <w:pPr>
              <w:spacing w:after="0" w:line="240" w:lineRule="auto"/>
              <w:rPr>
                <w:rFonts w:hint="eastAsia" w:eastAsia="仿宋_GB2312"/>
                <w:lang w:eastAsia="zh-CN"/>
              </w:rPr>
            </w:pPr>
            <w:r>
              <w:rPr>
                <w:rFonts w:ascii="仿宋_GB2312" w:hAnsi="仿宋_GB2312" w:eastAsia="仿宋_GB2312"/>
                <w:b w:val="0"/>
                <w:sz w:val="18"/>
              </w:rPr>
              <w:t>居住空间总数达到4个及以上的住宅，需有2个及以上居住空间满足日照标准</w:t>
            </w:r>
            <w:r>
              <w:rPr>
                <w:rFonts w:hint="eastAsia" w:ascii="仿宋_GB2312" w:hAnsi="仿宋_GB2312" w:eastAsia="仿宋_GB2312"/>
                <w:b w:val="0"/>
                <w:sz w:val="18"/>
                <w:lang w:eastAsia="zh-CN"/>
              </w:rPr>
              <w:t>。</w:t>
            </w:r>
          </w:p>
        </w:tc>
        <w:tc>
          <w:tcPr>
            <w:tcW w:w="1619" w:type="dxa"/>
            <w:vAlign w:val="center"/>
          </w:tcPr>
          <w:p w14:paraId="442E3AA0">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7D52576A">
            <w:pPr>
              <w:spacing w:after="0" w:line="240" w:lineRule="auto"/>
            </w:pPr>
            <w:r>
              <w:rPr>
                <w:rFonts w:hint="eastAsia" w:ascii="仿宋_GB2312" w:hAnsi="仿宋_GB2312" w:eastAsia="仿宋_GB2312"/>
                <w:b w:val="0"/>
                <w:sz w:val="18"/>
                <w:lang w:val="en-US" w:eastAsia="zh-CN"/>
              </w:rPr>
              <w:t>满足</w:t>
            </w:r>
            <w:r>
              <w:rPr>
                <w:rFonts w:hint="default" w:ascii="仿宋_GB2312" w:hAnsi="仿宋_GB2312" w:eastAsia="仿宋_GB2312"/>
                <w:b w:val="0"/>
                <w:sz w:val="18"/>
                <w:lang w:val="en-US" w:eastAsia="zh-CN"/>
              </w:rPr>
              <w:t>1</w:t>
            </w:r>
            <w:r>
              <w:rPr>
                <w:rFonts w:hint="eastAsia" w:ascii="仿宋_GB2312" w:hAnsi="仿宋_GB2312" w:eastAsia="仿宋_GB2312"/>
                <w:b w:val="0"/>
                <w:sz w:val="18"/>
                <w:lang w:val="en-US" w:eastAsia="zh-CN"/>
              </w:rPr>
              <w:t>项</w:t>
            </w:r>
            <w:r>
              <w:rPr>
                <w:rFonts w:hint="default" w:ascii="仿宋_GB2312" w:hAnsi="仿宋_GB2312" w:eastAsia="仿宋_GB2312"/>
                <w:b w:val="0"/>
                <w:sz w:val="18"/>
                <w:lang w:val="en-US" w:eastAsia="zh-CN"/>
              </w:rPr>
              <w:t>3</w:t>
            </w:r>
            <w:r>
              <w:rPr>
                <w:rFonts w:hint="eastAsia" w:ascii="仿宋_GB2312" w:hAnsi="仿宋_GB2312" w:eastAsia="仿宋_GB2312"/>
                <w:b w:val="0"/>
                <w:sz w:val="18"/>
                <w:lang w:val="en-US" w:eastAsia="zh-CN"/>
              </w:rPr>
              <w:t>分，满足3项</w:t>
            </w:r>
            <w:r>
              <w:rPr>
                <w:rFonts w:hint="default" w:ascii="仿宋_GB2312" w:hAnsi="仿宋_GB2312" w:eastAsia="仿宋_GB2312"/>
                <w:b w:val="0"/>
                <w:sz w:val="18"/>
                <w:lang w:val="en-US" w:eastAsia="zh-CN"/>
              </w:rPr>
              <w:t>10</w:t>
            </w:r>
            <w:r>
              <w:rPr>
                <w:rFonts w:hint="eastAsia" w:ascii="仿宋_GB2312" w:hAnsi="仿宋_GB2312" w:eastAsia="仿宋_GB2312"/>
                <w:b w:val="0"/>
                <w:sz w:val="18"/>
                <w:lang w:val="en-US" w:eastAsia="zh-CN"/>
              </w:rPr>
              <w:t>分，满足</w:t>
            </w:r>
            <w:r>
              <w:rPr>
                <w:rFonts w:hint="default" w:ascii="仿宋_GB2312" w:hAnsi="仿宋_GB2312" w:eastAsia="仿宋_GB2312"/>
                <w:b w:val="0"/>
                <w:sz w:val="18"/>
                <w:lang w:val="en-US" w:eastAsia="zh-CN"/>
              </w:rPr>
              <w:t>4</w:t>
            </w:r>
            <w:r>
              <w:rPr>
                <w:rFonts w:hint="eastAsia" w:ascii="仿宋_GB2312" w:hAnsi="仿宋_GB2312" w:eastAsia="仿宋_GB2312"/>
                <w:b w:val="0"/>
                <w:sz w:val="18"/>
                <w:lang w:val="en-US" w:eastAsia="zh-CN"/>
              </w:rPr>
              <w:t>项以上15分</w:t>
            </w:r>
          </w:p>
        </w:tc>
      </w:tr>
      <w:tr w14:paraId="2204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850" w:type="dxa"/>
            <w:vAlign w:val="center"/>
          </w:tcPr>
          <w:p w14:paraId="52DCC63A">
            <w:pPr>
              <w:spacing w:after="0" w:line="240" w:lineRule="auto"/>
              <w:jc w:val="center"/>
            </w:pPr>
            <w:r>
              <w:rPr>
                <w:rFonts w:ascii="仿宋_GB2312" w:hAnsi="仿宋_GB2312" w:eastAsia="仿宋_GB2312"/>
                <w:b w:val="0"/>
                <w:sz w:val="18"/>
              </w:rPr>
              <w:t>2</w:t>
            </w:r>
          </w:p>
        </w:tc>
        <w:tc>
          <w:tcPr>
            <w:tcW w:w="10340" w:type="dxa"/>
            <w:vAlign w:val="center"/>
          </w:tcPr>
          <w:p w14:paraId="255E9BC1">
            <w:pPr>
              <w:spacing w:after="0" w:line="240" w:lineRule="auto"/>
              <w:rPr>
                <w:rFonts w:hint="eastAsia" w:eastAsia="仿宋_GB2312"/>
                <w:lang w:eastAsia="zh-CN"/>
              </w:rPr>
            </w:pPr>
            <w:r>
              <w:rPr>
                <w:rFonts w:ascii="仿宋_GB2312" w:hAnsi="仿宋_GB2312" w:eastAsia="仿宋_GB2312"/>
                <w:b w:val="0"/>
                <w:sz w:val="18"/>
              </w:rPr>
              <w:t>居住区内，有1个居住空间大寒日日照达到5小时的住宅套数比例≥60%</w:t>
            </w:r>
            <w:r>
              <w:rPr>
                <w:rFonts w:hint="eastAsia" w:ascii="仿宋_GB2312" w:hAnsi="仿宋_GB2312" w:eastAsia="仿宋_GB2312"/>
                <w:b w:val="0"/>
                <w:sz w:val="18"/>
                <w:lang w:eastAsia="zh-CN"/>
              </w:rPr>
              <w:t>。</w:t>
            </w:r>
          </w:p>
        </w:tc>
        <w:tc>
          <w:tcPr>
            <w:tcW w:w="1619" w:type="dxa"/>
            <w:vAlign w:val="center"/>
          </w:tcPr>
          <w:p w14:paraId="47C4A64D">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1AA11338">
            <w:pPr>
              <w:spacing w:after="0" w:line="240" w:lineRule="auto"/>
            </w:pPr>
          </w:p>
        </w:tc>
      </w:tr>
      <w:tr w14:paraId="716E0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F5F9819">
            <w:pPr>
              <w:spacing w:after="0" w:line="240" w:lineRule="auto"/>
              <w:jc w:val="center"/>
            </w:pPr>
            <w:r>
              <w:rPr>
                <w:rFonts w:ascii="仿宋_GB2312" w:hAnsi="仿宋_GB2312" w:eastAsia="仿宋_GB2312"/>
                <w:b w:val="0"/>
                <w:sz w:val="18"/>
              </w:rPr>
              <w:t>3</w:t>
            </w:r>
          </w:p>
        </w:tc>
        <w:tc>
          <w:tcPr>
            <w:tcW w:w="10340" w:type="dxa"/>
            <w:vAlign w:val="center"/>
          </w:tcPr>
          <w:p w14:paraId="79860649">
            <w:pPr>
              <w:spacing w:after="0" w:line="240" w:lineRule="auto"/>
              <w:rPr>
                <w:rFonts w:hint="eastAsia" w:eastAsia="仿宋_GB2312"/>
                <w:lang w:eastAsia="zh-CN"/>
              </w:rPr>
            </w:pPr>
            <w:r>
              <w:rPr>
                <w:rFonts w:ascii="仿宋_GB2312" w:hAnsi="仿宋_GB2312" w:eastAsia="仿宋_GB2312"/>
                <w:b w:val="0"/>
                <w:sz w:val="18"/>
              </w:rPr>
              <w:t>居住区内，有1个居住空间大寒日日照达到5小时的住宅套数比例≥80%</w:t>
            </w:r>
            <w:r>
              <w:rPr>
                <w:rFonts w:hint="eastAsia" w:ascii="仿宋_GB2312" w:hAnsi="仿宋_GB2312" w:eastAsia="仿宋_GB2312"/>
                <w:b w:val="0"/>
                <w:sz w:val="18"/>
                <w:lang w:eastAsia="zh-CN"/>
              </w:rPr>
              <w:t>。</w:t>
            </w:r>
          </w:p>
        </w:tc>
        <w:tc>
          <w:tcPr>
            <w:tcW w:w="1619" w:type="dxa"/>
            <w:vAlign w:val="center"/>
          </w:tcPr>
          <w:p w14:paraId="0AB7BCE1">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2F8D329A">
            <w:pPr>
              <w:spacing w:after="0" w:line="240" w:lineRule="auto"/>
            </w:pPr>
          </w:p>
        </w:tc>
      </w:tr>
      <w:tr w14:paraId="3468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EFE4379">
            <w:pPr>
              <w:spacing w:after="0" w:line="240" w:lineRule="auto"/>
              <w:jc w:val="center"/>
            </w:pPr>
            <w:r>
              <w:rPr>
                <w:rFonts w:ascii="仿宋_GB2312" w:hAnsi="仿宋_GB2312" w:eastAsia="仿宋_GB2312"/>
                <w:b w:val="0"/>
                <w:sz w:val="18"/>
              </w:rPr>
              <w:t>4</w:t>
            </w:r>
          </w:p>
        </w:tc>
        <w:tc>
          <w:tcPr>
            <w:tcW w:w="10340" w:type="dxa"/>
            <w:vAlign w:val="center"/>
          </w:tcPr>
          <w:p w14:paraId="05A24870">
            <w:pPr>
              <w:spacing w:after="0" w:line="240" w:lineRule="auto"/>
              <w:rPr>
                <w:rFonts w:hint="eastAsia" w:eastAsia="仿宋_GB2312"/>
                <w:lang w:eastAsia="zh-CN"/>
              </w:rPr>
            </w:pPr>
            <w:r>
              <w:rPr>
                <w:rFonts w:ascii="仿宋_GB2312" w:hAnsi="仿宋_GB2312" w:eastAsia="仿宋_GB2312"/>
                <w:b w:val="0"/>
                <w:sz w:val="18"/>
              </w:rPr>
              <w:t>6层及以下住宅的建筑面宽不大于70m；7层及以上住宅的建筑面宽不大于60m</w:t>
            </w:r>
            <w:r>
              <w:rPr>
                <w:rFonts w:hint="eastAsia" w:ascii="仿宋_GB2312" w:hAnsi="仿宋_GB2312" w:eastAsia="仿宋_GB2312"/>
                <w:b w:val="0"/>
                <w:sz w:val="18"/>
                <w:lang w:eastAsia="zh-CN"/>
              </w:rPr>
              <w:t>。</w:t>
            </w:r>
          </w:p>
        </w:tc>
        <w:tc>
          <w:tcPr>
            <w:tcW w:w="1619" w:type="dxa"/>
            <w:vAlign w:val="center"/>
          </w:tcPr>
          <w:p w14:paraId="2D02395C">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27C57768">
            <w:pPr>
              <w:spacing w:after="0" w:line="240" w:lineRule="auto"/>
            </w:pPr>
          </w:p>
        </w:tc>
      </w:tr>
      <w:tr w14:paraId="4E92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621E5A9">
            <w:pPr>
              <w:spacing w:after="0" w:line="240" w:lineRule="auto"/>
              <w:jc w:val="center"/>
            </w:pPr>
            <w:r>
              <w:rPr>
                <w:rFonts w:ascii="仿宋_GB2312" w:hAnsi="仿宋_GB2312" w:eastAsia="仿宋_GB2312"/>
                <w:b w:val="0"/>
                <w:sz w:val="18"/>
              </w:rPr>
              <w:t>5</w:t>
            </w:r>
          </w:p>
        </w:tc>
        <w:tc>
          <w:tcPr>
            <w:tcW w:w="10340" w:type="dxa"/>
            <w:vAlign w:val="center"/>
          </w:tcPr>
          <w:p w14:paraId="447B0199">
            <w:pPr>
              <w:spacing w:after="0" w:line="240" w:lineRule="auto"/>
              <w:rPr>
                <w:rFonts w:hint="eastAsia" w:eastAsia="仿宋_GB2312"/>
                <w:lang w:eastAsia="zh-CN"/>
              </w:rPr>
            </w:pPr>
            <w:r>
              <w:rPr>
                <w:rFonts w:ascii="仿宋_GB2312" w:hAnsi="仿宋_GB2312" w:eastAsia="仿宋_GB2312"/>
                <w:b w:val="0"/>
                <w:sz w:val="18"/>
              </w:rPr>
              <w:t>居住区紧邻城市道路时，应采取设置隔声屏、种植高大绿植等防护措施，以减少噪声干扰，保障居住环境安静宜居</w:t>
            </w:r>
            <w:r>
              <w:rPr>
                <w:rFonts w:hint="eastAsia" w:ascii="仿宋_GB2312" w:hAnsi="仿宋_GB2312" w:eastAsia="仿宋_GB2312"/>
                <w:b w:val="0"/>
                <w:sz w:val="18"/>
                <w:lang w:eastAsia="zh-CN"/>
              </w:rPr>
              <w:t>。</w:t>
            </w:r>
          </w:p>
        </w:tc>
        <w:tc>
          <w:tcPr>
            <w:tcW w:w="1619" w:type="dxa"/>
            <w:vAlign w:val="center"/>
          </w:tcPr>
          <w:p w14:paraId="5222927A">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4A47412">
            <w:pPr>
              <w:spacing w:after="0" w:line="240" w:lineRule="auto"/>
            </w:pPr>
          </w:p>
        </w:tc>
      </w:tr>
      <w:tr w14:paraId="51D6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AB2F44A">
            <w:pPr>
              <w:spacing w:after="0" w:line="240" w:lineRule="auto"/>
              <w:jc w:val="center"/>
            </w:pPr>
            <w:r>
              <w:rPr>
                <w:rFonts w:ascii="仿宋_GB2312" w:hAnsi="仿宋_GB2312" w:eastAsia="仿宋_GB2312"/>
                <w:b w:val="0"/>
                <w:sz w:val="18"/>
              </w:rPr>
              <w:t>6</w:t>
            </w:r>
          </w:p>
        </w:tc>
        <w:tc>
          <w:tcPr>
            <w:tcW w:w="10340" w:type="dxa"/>
            <w:vAlign w:val="center"/>
          </w:tcPr>
          <w:p w14:paraId="1B80E57C">
            <w:pPr>
              <w:spacing w:after="0" w:line="240" w:lineRule="auto"/>
              <w:rPr>
                <w:rFonts w:hint="eastAsia" w:eastAsia="仿宋_GB2312"/>
                <w:lang w:eastAsia="zh-CN"/>
              </w:rPr>
            </w:pPr>
            <w:r>
              <w:rPr>
                <w:rFonts w:ascii="仿宋_GB2312" w:hAnsi="仿宋_GB2312" w:eastAsia="仿宋_GB2312"/>
                <w:b w:val="0"/>
                <w:sz w:val="18"/>
              </w:rPr>
              <w:t>人均集中绿地≥0.6m²/人</w:t>
            </w:r>
            <w:r>
              <w:rPr>
                <w:rFonts w:hint="eastAsia" w:ascii="仿宋_GB2312" w:hAnsi="仿宋_GB2312" w:eastAsia="仿宋_GB2312"/>
                <w:b w:val="0"/>
                <w:sz w:val="18"/>
                <w:lang w:eastAsia="zh-CN"/>
              </w:rPr>
              <w:t>。</w:t>
            </w:r>
          </w:p>
        </w:tc>
        <w:tc>
          <w:tcPr>
            <w:tcW w:w="1619" w:type="dxa"/>
            <w:vAlign w:val="center"/>
          </w:tcPr>
          <w:p w14:paraId="00B06DBD">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A1F342E">
            <w:pPr>
              <w:spacing w:after="0" w:line="240" w:lineRule="auto"/>
            </w:pPr>
          </w:p>
        </w:tc>
      </w:tr>
      <w:tr w14:paraId="0844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4EAD8BA">
            <w:pPr>
              <w:spacing w:after="0" w:line="240" w:lineRule="auto"/>
              <w:jc w:val="center"/>
            </w:pPr>
            <w:r>
              <w:rPr>
                <w:rFonts w:ascii="仿宋_GB2312" w:hAnsi="仿宋_GB2312" w:eastAsia="仿宋_GB2312"/>
                <w:b w:val="0"/>
                <w:sz w:val="18"/>
              </w:rPr>
              <w:t>7</w:t>
            </w:r>
          </w:p>
        </w:tc>
        <w:tc>
          <w:tcPr>
            <w:tcW w:w="10340" w:type="dxa"/>
            <w:vAlign w:val="center"/>
          </w:tcPr>
          <w:p w14:paraId="23283751">
            <w:pPr>
              <w:spacing w:after="0" w:line="240" w:lineRule="auto"/>
              <w:rPr>
                <w:rFonts w:hint="eastAsia" w:eastAsia="仿宋_GB2312"/>
                <w:lang w:eastAsia="zh-CN"/>
              </w:rPr>
            </w:pPr>
            <w:r>
              <w:rPr>
                <w:rFonts w:ascii="仿宋_GB2312" w:hAnsi="仿宋_GB2312" w:eastAsia="仿宋_GB2312"/>
                <w:b w:val="0"/>
                <w:sz w:val="18"/>
              </w:rPr>
              <w:t>老年人和儿童室外活动场地应设置在阳光充足的区域，且应有≥1/2面积的活动场地满足大寒日日照时长≥2小时的标准</w:t>
            </w:r>
            <w:r>
              <w:rPr>
                <w:rFonts w:hint="eastAsia" w:ascii="仿宋_GB2312" w:hAnsi="仿宋_GB2312" w:eastAsia="仿宋_GB2312"/>
                <w:b w:val="0"/>
                <w:sz w:val="18"/>
                <w:lang w:eastAsia="zh-CN"/>
              </w:rPr>
              <w:t>。</w:t>
            </w:r>
          </w:p>
        </w:tc>
        <w:tc>
          <w:tcPr>
            <w:tcW w:w="1619" w:type="dxa"/>
            <w:vAlign w:val="center"/>
          </w:tcPr>
          <w:p w14:paraId="5655E0CE">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4A63A488">
            <w:pPr>
              <w:spacing w:after="0" w:line="240" w:lineRule="auto"/>
            </w:pPr>
          </w:p>
        </w:tc>
      </w:tr>
      <w:tr w14:paraId="524D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9B4A80E">
            <w:pPr>
              <w:spacing w:after="0" w:line="240" w:lineRule="auto"/>
              <w:jc w:val="center"/>
            </w:pPr>
            <w:r>
              <w:rPr>
                <w:rFonts w:ascii="仿宋_GB2312" w:hAnsi="仿宋_GB2312" w:eastAsia="仿宋_GB2312"/>
                <w:b w:val="0"/>
                <w:sz w:val="18"/>
              </w:rPr>
              <w:t>8</w:t>
            </w:r>
          </w:p>
        </w:tc>
        <w:tc>
          <w:tcPr>
            <w:tcW w:w="10340" w:type="dxa"/>
            <w:vAlign w:val="center"/>
          </w:tcPr>
          <w:p w14:paraId="7DCACEC0">
            <w:pPr>
              <w:spacing w:after="0" w:line="240" w:lineRule="auto"/>
              <w:rPr>
                <w:rFonts w:hint="eastAsia" w:eastAsia="仿宋_GB2312"/>
                <w:lang w:eastAsia="zh-CN"/>
              </w:rPr>
            </w:pPr>
            <w:r>
              <w:rPr>
                <w:rFonts w:ascii="仿宋_GB2312" w:hAnsi="仿宋_GB2312" w:eastAsia="仿宋_GB2312"/>
                <w:b w:val="0"/>
                <w:sz w:val="18"/>
              </w:rPr>
              <w:t>设置健身房、书吧、茶室、咖啡厅、公共会客厅、棋牌室以及社区食堂等服务设施</w:t>
            </w:r>
            <w:r>
              <w:rPr>
                <w:rFonts w:hint="eastAsia" w:ascii="仿宋_GB2312" w:hAnsi="仿宋_GB2312" w:eastAsia="仿宋_GB2312"/>
                <w:b w:val="0"/>
                <w:sz w:val="18"/>
                <w:lang w:eastAsia="zh-CN"/>
              </w:rPr>
              <w:t>。</w:t>
            </w:r>
          </w:p>
        </w:tc>
        <w:tc>
          <w:tcPr>
            <w:tcW w:w="1619" w:type="dxa"/>
            <w:vAlign w:val="center"/>
          </w:tcPr>
          <w:p w14:paraId="7B91AEC0">
            <w:pPr>
              <w:spacing w:after="0" w:line="240" w:lineRule="auto"/>
              <w:jc w:val="center"/>
            </w:pPr>
            <w:r>
              <w:rPr>
                <w:rFonts w:ascii="仿宋_GB2312" w:hAnsi="仿宋_GB2312" w:eastAsia="仿宋_GB2312"/>
                <w:b w:val="0"/>
                <w:sz w:val="18"/>
              </w:rPr>
              <w:t>□符合 □不符合</w:t>
            </w:r>
          </w:p>
        </w:tc>
        <w:tc>
          <w:tcPr>
            <w:tcW w:w="1761" w:type="dxa"/>
            <w:vAlign w:val="center"/>
          </w:tcPr>
          <w:p w14:paraId="30FD50CF">
            <w:pPr>
              <w:spacing w:after="0" w:line="240" w:lineRule="auto"/>
            </w:pPr>
            <w:r>
              <w:rPr>
                <w:rFonts w:hint="eastAsia" w:ascii="仿宋_GB2312" w:hAnsi="仿宋_GB2312" w:eastAsia="仿宋_GB2312"/>
                <w:b w:val="0"/>
                <w:sz w:val="18"/>
                <w:lang w:val="en-US" w:eastAsia="zh-CN"/>
              </w:rPr>
              <w:t>满足</w:t>
            </w:r>
            <w:r>
              <w:rPr>
                <w:rFonts w:hint="default" w:ascii="仿宋_GB2312" w:hAnsi="仿宋_GB2312" w:eastAsia="仿宋_GB2312"/>
                <w:b w:val="0"/>
                <w:sz w:val="18"/>
                <w:lang w:val="en-US" w:eastAsia="zh-CN"/>
              </w:rPr>
              <w:t>2</w:t>
            </w:r>
            <w:r>
              <w:rPr>
                <w:rFonts w:hint="eastAsia" w:ascii="仿宋_GB2312" w:hAnsi="仿宋_GB2312" w:eastAsia="仿宋_GB2312"/>
                <w:b w:val="0"/>
                <w:sz w:val="18"/>
                <w:lang w:val="en-US" w:eastAsia="zh-CN"/>
              </w:rPr>
              <w:t>项设施</w:t>
            </w:r>
            <w:r>
              <w:rPr>
                <w:rFonts w:hint="default" w:ascii="仿宋_GB2312" w:hAnsi="仿宋_GB2312" w:eastAsia="仿宋_GB2312"/>
                <w:b w:val="0"/>
                <w:sz w:val="18"/>
                <w:lang w:val="en-US" w:eastAsia="zh-CN"/>
              </w:rPr>
              <w:t>3</w:t>
            </w:r>
            <w:r>
              <w:rPr>
                <w:rFonts w:hint="eastAsia" w:ascii="仿宋_GB2312" w:hAnsi="仿宋_GB2312" w:eastAsia="仿宋_GB2312"/>
                <w:b w:val="0"/>
                <w:sz w:val="18"/>
                <w:lang w:val="en-US" w:eastAsia="zh-CN"/>
              </w:rPr>
              <w:t>分，满足</w:t>
            </w:r>
            <w:r>
              <w:rPr>
                <w:rFonts w:hint="default" w:ascii="仿宋_GB2312" w:hAnsi="仿宋_GB2312" w:eastAsia="仿宋_GB2312"/>
                <w:b w:val="0"/>
                <w:sz w:val="18"/>
                <w:lang w:val="en-US" w:eastAsia="zh-CN"/>
              </w:rPr>
              <w:t>4</w:t>
            </w:r>
            <w:r>
              <w:rPr>
                <w:rFonts w:hint="eastAsia" w:ascii="仿宋_GB2312" w:hAnsi="仿宋_GB2312" w:eastAsia="仿宋_GB2312"/>
                <w:b w:val="0"/>
                <w:sz w:val="18"/>
                <w:lang w:val="en-US" w:eastAsia="zh-CN"/>
              </w:rPr>
              <w:t>项以上</w:t>
            </w:r>
            <w:r>
              <w:rPr>
                <w:rFonts w:hint="default" w:ascii="仿宋_GB2312" w:hAnsi="仿宋_GB2312" w:eastAsia="仿宋_GB2312"/>
                <w:b w:val="0"/>
                <w:sz w:val="18"/>
                <w:lang w:val="en-US" w:eastAsia="zh-CN"/>
              </w:rPr>
              <w:t>5</w:t>
            </w:r>
            <w:r>
              <w:rPr>
                <w:rFonts w:hint="eastAsia" w:ascii="仿宋_GB2312" w:hAnsi="仿宋_GB2312" w:eastAsia="仿宋_GB2312"/>
                <w:b w:val="0"/>
                <w:sz w:val="18"/>
                <w:lang w:val="en-US" w:eastAsia="zh-CN"/>
              </w:rPr>
              <w:t>分</w:t>
            </w:r>
          </w:p>
        </w:tc>
      </w:tr>
      <w:tr w14:paraId="5867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CBD5B4B">
            <w:pPr>
              <w:spacing w:after="0" w:line="240" w:lineRule="auto"/>
              <w:jc w:val="center"/>
            </w:pPr>
            <w:r>
              <w:rPr>
                <w:rFonts w:ascii="仿宋_GB2312" w:hAnsi="仿宋_GB2312" w:eastAsia="仿宋_GB2312"/>
                <w:b w:val="0"/>
                <w:sz w:val="18"/>
              </w:rPr>
              <w:t>9</w:t>
            </w:r>
          </w:p>
        </w:tc>
        <w:tc>
          <w:tcPr>
            <w:tcW w:w="10340" w:type="dxa"/>
            <w:vAlign w:val="center"/>
          </w:tcPr>
          <w:p w14:paraId="2E1F72E2">
            <w:pPr>
              <w:spacing w:after="0" w:line="240" w:lineRule="auto"/>
              <w:rPr>
                <w:rFonts w:hint="eastAsia" w:eastAsia="仿宋_GB2312"/>
                <w:lang w:eastAsia="zh-CN"/>
              </w:rPr>
            </w:pPr>
            <w:r>
              <w:rPr>
                <w:rFonts w:ascii="仿宋_GB2312" w:hAnsi="仿宋_GB2312" w:eastAsia="仿宋_GB2312"/>
                <w:b w:val="0"/>
                <w:sz w:val="18"/>
              </w:rPr>
              <w:t>套型设计采用开放且灵活可变的空间设计，或采取可改变建筑使用功能的措施</w:t>
            </w:r>
            <w:r>
              <w:rPr>
                <w:rFonts w:hint="eastAsia" w:ascii="仿宋_GB2312" w:hAnsi="仿宋_GB2312" w:eastAsia="仿宋_GB2312"/>
                <w:b w:val="0"/>
                <w:sz w:val="18"/>
                <w:lang w:eastAsia="zh-CN"/>
              </w:rPr>
              <w:t>。</w:t>
            </w:r>
          </w:p>
        </w:tc>
        <w:tc>
          <w:tcPr>
            <w:tcW w:w="1619" w:type="dxa"/>
            <w:vAlign w:val="center"/>
          </w:tcPr>
          <w:p w14:paraId="010F1658">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19A379FF">
            <w:pPr>
              <w:spacing w:after="0" w:line="240" w:lineRule="auto"/>
              <w:rPr>
                <w:rFonts w:hint="eastAsia" w:ascii="仿宋_GB2312" w:hAnsi="仿宋_GB2312" w:eastAsia="仿宋_GB2312"/>
                <w:b w:val="0"/>
                <w:sz w:val="18"/>
                <w:lang w:val="en-US" w:eastAsia="zh-CN"/>
              </w:rPr>
            </w:pPr>
            <w:r>
              <w:rPr>
                <w:rFonts w:hint="eastAsia" w:ascii="仿宋_GB2312" w:hAnsi="仿宋_GB2312" w:eastAsia="仿宋_GB2312"/>
                <w:b w:val="0"/>
                <w:sz w:val="18"/>
                <w:lang w:val="en-US" w:eastAsia="zh-CN"/>
              </w:rPr>
              <w:t>满足</w:t>
            </w:r>
            <w:r>
              <w:rPr>
                <w:rFonts w:hint="default" w:ascii="仿宋_GB2312" w:hAnsi="仿宋_GB2312" w:eastAsia="仿宋_GB2312"/>
                <w:b w:val="0"/>
                <w:sz w:val="18"/>
                <w:lang w:val="en-US" w:eastAsia="zh-CN"/>
              </w:rPr>
              <w:t>2</w:t>
            </w:r>
            <w:r>
              <w:rPr>
                <w:rFonts w:hint="eastAsia" w:ascii="仿宋_GB2312" w:hAnsi="仿宋_GB2312" w:eastAsia="仿宋_GB2312"/>
                <w:b w:val="0"/>
                <w:sz w:val="18"/>
                <w:lang w:val="en-US" w:eastAsia="zh-CN"/>
              </w:rPr>
              <w:t>项</w:t>
            </w:r>
            <w:r>
              <w:rPr>
                <w:rFonts w:hint="eastAsia" w:ascii="仿宋_GB2312" w:hAnsi="仿宋_GB2312" w:eastAsia="仿宋_GB2312"/>
                <w:b w:val="0"/>
                <w:sz w:val="18"/>
                <w:lang w:val="en-US" w:eastAsia="zh"/>
              </w:rPr>
              <w:t>6</w:t>
            </w:r>
            <w:r>
              <w:rPr>
                <w:rFonts w:hint="eastAsia" w:ascii="仿宋_GB2312" w:hAnsi="仿宋_GB2312" w:eastAsia="仿宋_GB2312"/>
                <w:b w:val="0"/>
                <w:sz w:val="18"/>
                <w:lang w:val="en-US" w:eastAsia="zh-CN"/>
              </w:rPr>
              <w:t>分</w:t>
            </w:r>
          </w:p>
          <w:p w14:paraId="2328525B">
            <w:pPr>
              <w:spacing w:after="0" w:line="240" w:lineRule="auto"/>
              <w:rPr>
                <w:rFonts w:hint="eastAsia" w:ascii="仿宋_GB2312" w:hAnsi="仿宋_GB2312" w:eastAsia="仿宋_GB2312"/>
                <w:b w:val="0"/>
                <w:sz w:val="18"/>
                <w:lang w:val="en-US" w:eastAsia="zh-CN"/>
              </w:rPr>
            </w:pPr>
            <w:r>
              <w:rPr>
                <w:rFonts w:hint="eastAsia" w:ascii="仿宋_GB2312" w:hAnsi="仿宋_GB2312" w:eastAsia="仿宋_GB2312"/>
                <w:b w:val="0"/>
                <w:sz w:val="18"/>
                <w:lang w:val="en-US" w:eastAsia="zh-CN"/>
              </w:rPr>
              <w:t>满足</w:t>
            </w:r>
            <w:r>
              <w:rPr>
                <w:rFonts w:hint="default" w:ascii="仿宋_GB2312" w:hAnsi="仿宋_GB2312" w:eastAsia="仿宋_GB2312"/>
                <w:b w:val="0"/>
                <w:sz w:val="18"/>
                <w:lang w:val="en-US" w:eastAsia="zh-CN"/>
              </w:rPr>
              <w:t>4</w:t>
            </w:r>
            <w:r>
              <w:rPr>
                <w:rFonts w:hint="eastAsia" w:ascii="仿宋_GB2312" w:hAnsi="仿宋_GB2312" w:eastAsia="仿宋_GB2312"/>
                <w:b w:val="0"/>
                <w:sz w:val="18"/>
                <w:lang w:val="en-US" w:eastAsia="zh-CN"/>
              </w:rPr>
              <w:t>项</w:t>
            </w:r>
            <w:r>
              <w:rPr>
                <w:rFonts w:hint="eastAsia" w:ascii="仿宋_GB2312" w:hAnsi="仿宋_GB2312" w:eastAsia="仿宋_GB2312"/>
                <w:b w:val="0"/>
                <w:sz w:val="18"/>
                <w:lang w:val="en-US" w:eastAsia="zh"/>
              </w:rPr>
              <w:t>15</w:t>
            </w:r>
            <w:r>
              <w:rPr>
                <w:rFonts w:hint="eastAsia" w:ascii="仿宋_GB2312" w:hAnsi="仿宋_GB2312" w:eastAsia="仿宋_GB2312"/>
                <w:b w:val="0"/>
                <w:sz w:val="18"/>
                <w:lang w:val="en-US" w:eastAsia="zh-CN"/>
              </w:rPr>
              <w:t>分</w:t>
            </w:r>
          </w:p>
          <w:p w14:paraId="5D77CB3E">
            <w:pPr>
              <w:spacing w:after="0" w:line="240" w:lineRule="auto"/>
              <w:rPr>
                <w:rFonts w:hint="eastAsia" w:ascii="仿宋_GB2312" w:hAnsi="仿宋_GB2312" w:eastAsia="仿宋_GB2312"/>
                <w:b w:val="0"/>
                <w:sz w:val="18"/>
                <w:lang w:val="en-US" w:eastAsia="zh-CN"/>
              </w:rPr>
            </w:pPr>
            <w:r>
              <w:rPr>
                <w:rFonts w:hint="eastAsia" w:ascii="仿宋_GB2312" w:hAnsi="仿宋_GB2312" w:eastAsia="仿宋_GB2312"/>
                <w:b w:val="0"/>
                <w:sz w:val="18"/>
                <w:lang w:val="en-US" w:eastAsia="zh-CN"/>
              </w:rPr>
              <w:t>满足</w:t>
            </w:r>
            <w:r>
              <w:rPr>
                <w:rFonts w:hint="default" w:ascii="仿宋_GB2312" w:hAnsi="仿宋_GB2312" w:eastAsia="仿宋_GB2312"/>
                <w:b w:val="0"/>
                <w:sz w:val="18"/>
                <w:lang w:val="en-US" w:eastAsia="zh-CN"/>
              </w:rPr>
              <w:t>8</w:t>
            </w:r>
            <w:r>
              <w:rPr>
                <w:rFonts w:hint="eastAsia" w:ascii="仿宋_GB2312" w:hAnsi="仿宋_GB2312" w:eastAsia="仿宋_GB2312"/>
                <w:b w:val="0"/>
                <w:sz w:val="18"/>
                <w:lang w:val="en-US" w:eastAsia="zh-CN"/>
              </w:rPr>
              <w:t>项</w:t>
            </w:r>
            <w:r>
              <w:rPr>
                <w:rFonts w:hint="eastAsia" w:ascii="仿宋_GB2312" w:hAnsi="仿宋_GB2312" w:eastAsia="仿宋_GB2312"/>
                <w:b w:val="0"/>
                <w:sz w:val="18"/>
                <w:lang w:val="en-US" w:eastAsia="zh"/>
              </w:rPr>
              <w:t>30</w:t>
            </w:r>
            <w:r>
              <w:rPr>
                <w:rFonts w:hint="eastAsia" w:ascii="仿宋_GB2312" w:hAnsi="仿宋_GB2312" w:eastAsia="仿宋_GB2312"/>
                <w:b w:val="0"/>
                <w:sz w:val="18"/>
                <w:lang w:val="en-US" w:eastAsia="zh-CN"/>
              </w:rPr>
              <w:t>分</w:t>
            </w:r>
          </w:p>
          <w:p w14:paraId="1A82224C">
            <w:pPr>
              <w:spacing w:after="0" w:line="240" w:lineRule="auto"/>
              <w:rPr>
                <w:rFonts w:hint="eastAsia" w:ascii="仿宋_GB2312" w:hAnsi="仿宋_GB2312" w:eastAsia="仿宋_GB2312"/>
                <w:b w:val="0"/>
                <w:sz w:val="18"/>
                <w:lang w:val="en-US" w:eastAsia="zh-CN"/>
              </w:rPr>
            </w:pPr>
            <w:r>
              <w:rPr>
                <w:rFonts w:hint="eastAsia" w:ascii="仿宋_GB2312" w:hAnsi="仿宋_GB2312" w:eastAsia="仿宋_GB2312"/>
                <w:b w:val="0"/>
                <w:sz w:val="18"/>
                <w:lang w:val="en-US" w:eastAsia="zh-CN"/>
              </w:rPr>
              <w:t>满足</w:t>
            </w:r>
            <w:r>
              <w:rPr>
                <w:rFonts w:hint="default" w:ascii="仿宋_GB2312" w:hAnsi="仿宋_GB2312" w:eastAsia="仿宋_GB2312"/>
                <w:b w:val="0"/>
                <w:sz w:val="18"/>
                <w:lang w:val="en-US" w:eastAsia="zh-CN"/>
              </w:rPr>
              <w:t>12</w:t>
            </w:r>
            <w:r>
              <w:rPr>
                <w:rFonts w:hint="eastAsia" w:ascii="仿宋_GB2312" w:hAnsi="仿宋_GB2312" w:eastAsia="仿宋_GB2312"/>
                <w:b w:val="0"/>
                <w:sz w:val="18"/>
                <w:lang w:val="en-US" w:eastAsia="zh-CN"/>
              </w:rPr>
              <w:t>项以上</w:t>
            </w:r>
            <w:r>
              <w:rPr>
                <w:rFonts w:hint="eastAsia" w:ascii="仿宋_GB2312" w:hAnsi="仿宋_GB2312" w:eastAsia="仿宋_GB2312"/>
                <w:b w:val="0"/>
                <w:sz w:val="18"/>
                <w:lang w:val="en-US" w:eastAsia="zh"/>
              </w:rPr>
              <w:t>45</w:t>
            </w:r>
            <w:r>
              <w:rPr>
                <w:rFonts w:hint="eastAsia" w:ascii="仿宋_GB2312" w:hAnsi="仿宋_GB2312" w:eastAsia="仿宋_GB2312"/>
                <w:b w:val="0"/>
                <w:sz w:val="18"/>
                <w:lang w:val="en-US" w:eastAsia="zh-CN"/>
              </w:rPr>
              <w:t>分</w:t>
            </w:r>
          </w:p>
          <w:p w14:paraId="26CA7973">
            <w:pPr>
              <w:spacing w:after="0" w:line="240" w:lineRule="auto"/>
              <w:jc w:val="center"/>
            </w:pPr>
          </w:p>
        </w:tc>
      </w:tr>
      <w:tr w14:paraId="7618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799F692">
            <w:pPr>
              <w:spacing w:after="0" w:line="240" w:lineRule="auto"/>
              <w:jc w:val="center"/>
            </w:pPr>
            <w:r>
              <w:rPr>
                <w:rFonts w:ascii="仿宋_GB2312" w:hAnsi="仿宋_GB2312" w:eastAsia="仿宋_GB2312"/>
                <w:b w:val="0"/>
                <w:sz w:val="18"/>
              </w:rPr>
              <w:t>10</w:t>
            </w:r>
          </w:p>
        </w:tc>
        <w:tc>
          <w:tcPr>
            <w:tcW w:w="10340" w:type="dxa"/>
            <w:vAlign w:val="center"/>
          </w:tcPr>
          <w:p w14:paraId="06C0B698">
            <w:pPr>
              <w:spacing w:after="0" w:line="240" w:lineRule="auto"/>
              <w:rPr>
                <w:rFonts w:hint="eastAsia" w:eastAsia="仿宋_GB2312"/>
                <w:lang w:eastAsia="zh-CN"/>
              </w:rPr>
            </w:pPr>
            <w:r>
              <w:rPr>
                <w:rFonts w:ascii="仿宋_GB2312" w:hAnsi="仿宋_GB2312" w:eastAsia="仿宋_GB2312"/>
                <w:b w:val="0"/>
                <w:sz w:val="18"/>
              </w:rPr>
              <w:t>套型宜避免深凹口设计，凹口内不宜设置起居室（厅）、卧室等主要房间。若需在凹口内设置起居室（厅）、卧室，其凹口尺寸应符合以下规定：①凹口净宽≥1.50m；②凹口净宽与净深之比≥1:2；③凹口净宽＜1.80m时，应设置防盗窗或采取防攀爬措施</w:t>
            </w:r>
            <w:r>
              <w:rPr>
                <w:rFonts w:hint="eastAsia" w:ascii="仿宋_GB2312" w:hAnsi="仿宋_GB2312" w:eastAsia="仿宋_GB2312"/>
                <w:b w:val="0"/>
                <w:sz w:val="18"/>
                <w:lang w:eastAsia="zh-CN"/>
              </w:rPr>
              <w:t>。</w:t>
            </w:r>
          </w:p>
        </w:tc>
        <w:tc>
          <w:tcPr>
            <w:tcW w:w="1619" w:type="dxa"/>
            <w:vAlign w:val="center"/>
          </w:tcPr>
          <w:p w14:paraId="1BF605B2">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0F700057">
            <w:pPr>
              <w:spacing w:after="0" w:line="240" w:lineRule="auto"/>
            </w:pPr>
          </w:p>
        </w:tc>
      </w:tr>
      <w:tr w14:paraId="68413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8A49EEC">
            <w:pPr>
              <w:spacing w:after="0" w:line="240" w:lineRule="auto"/>
              <w:jc w:val="center"/>
            </w:pPr>
            <w:r>
              <w:rPr>
                <w:rFonts w:ascii="仿宋_GB2312" w:hAnsi="仿宋_GB2312" w:eastAsia="仿宋_GB2312"/>
                <w:b w:val="0"/>
                <w:sz w:val="18"/>
              </w:rPr>
              <w:t>11</w:t>
            </w:r>
          </w:p>
        </w:tc>
        <w:tc>
          <w:tcPr>
            <w:tcW w:w="10340" w:type="dxa"/>
            <w:vAlign w:val="center"/>
          </w:tcPr>
          <w:p w14:paraId="188444D8">
            <w:pPr>
              <w:spacing w:after="0" w:line="240" w:lineRule="auto"/>
              <w:rPr>
                <w:rFonts w:hint="eastAsia" w:eastAsia="仿宋_GB2312"/>
                <w:lang w:eastAsia="zh-CN"/>
              </w:rPr>
            </w:pPr>
            <w:r>
              <w:rPr>
                <w:rFonts w:ascii="仿宋_GB2312" w:hAnsi="仿宋_GB2312" w:eastAsia="仿宋_GB2312"/>
                <w:b w:val="0"/>
                <w:sz w:val="18"/>
              </w:rPr>
              <w:t>套内使用面积≥100m²时，应设置≥6m²的收纳存储间</w:t>
            </w:r>
            <w:r>
              <w:rPr>
                <w:rFonts w:hint="eastAsia" w:ascii="仿宋_GB2312" w:hAnsi="仿宋_GB2312" w:eastAsia="仿宋_GB2312"/>
                <w:b w:val="0"/>
                <w:sz w:val="18"/>
                <w:lang w:eastAsia="zh-CN"/>
              </w:rPr>
              <w:t>。</w:t>
            </w:r>
          </w:p>
        </w:tc>
        <w:tc>
          <w:tcPr>
            <w:tcW w:w="1619" w:type="dxa"/>
            <w:vAlign w:val="center"/>
          </w:tcPr>
          <w:p w14:paraId="0FA07110">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4A1C3733">
            <w:pPr>
              <w:spacing w:after="0" w:line="240" w:lineRule="auto"/>
            </w:pPr>
          </w:p>
        </w:tc>
      </w:tr>
      <w:tr w14:paraId="14E3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3721DA1">
            <w:pPr>
              <w:spacing w:after="0" w:line="240" w:lineRule="auto"/>
              <w:jc w:val="center"/>
            </w:pPr>
            <w:r>
              <w:rPr>
                <w:rFonts w:ascii="仿宋_GB2312" w:hAnsi="仿宋_GB2312" w:eastAsia="仿宋_GB2312"/>
                <w:b w:val="0"/>
                <w:sz w:val="18"/>
              </w:rPr>
              <w:t>12</w:t>
            </w:r>
          </w:p>
        </w:tc>
        <w:tc>
          <w:tcPr>
            <w:tcW w:w="10340" w:type="dxa"/>
            <w:vAlign w:val="center"/>
          </w:tcPr>
          <w:p w14:paraId="466353E0">
            <w:pPr>
              <w:spacing w:after="0" w:line="240" w:lineRule="auto"/>
              <w:rPr>
                <w:rFonts w:hint="eastAsia" w:eastAsia="仿宋_GB2312"/>
                <w:lang w:eastAsia="zh-CN"/>
              </w:rPr>
            </w:pPr>
            <w:r>
              <w:rPr>
                <w:rFonts w:ascii="仿宋_GB2312" w:hAnsi="仿宋_GB2312" w:eastAsia="仿宋_GB2312"/>
                <w:b w:val="0"/>
                <w:sz w:val="18"/>
              </w:rPr>
              <w:t>每套住宅中至少1个卫生间应干湿分离</w:t>
            </w:r>
            <w:r>
              <w:rPr>
                <w:rFonts w:hint="eastAsia" w:ascii="仿宋_GB2312" w:hAnsi="仿宋_GB2312" w:eastAsia="仿宋_GB2312"/>
                <w:b w:val="0"/>
                <w:sz w:val="18"/>
                <w:lang w:eastAsia="zh-CN"/>
              </w:rPr>
              <w:t>。</w:t>
            </w:r>
          </w:p>
        </w:tc>
        <w:tc>
          <w:tcPr>
            <w:tcW w:w="1619" w:type="dxa"/>
            <w:vAlign w:val="center"/>
          </w:tcPr>
          <w:p w14:paraId="7E687159">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09A14841">
            <w:pPr>
              <w:spacing w:after="0" w:line="240" w:lineRule="auto"/>
            </w:pPr>
          </w:p>
        </w:tc>
      </w:tr>
      <w:tr w14:paraId="78035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3C0C68D">
            <w:pPr>
              <w:spacing w:after="0" w:line="240" w:lineRule="auto"/>
              <w:jc w:val="center"/>
            </w:pPr>
            <w:r>
              <w:rPr>
                <w:rFonts w:ascii="仿宋_GB2312" w:hAnsi="仿宋_GB2312" w:eastAsia="仿宋_GB2312"/>
                <w:b w:val="0"/>
                <w:sz w:val="18"/>
              </w:rPr>
              <w:t>13</w:t>
            </w:r>
          </w:p>
        </w:tc>
        <w:tc>
          <w:tcPr>
            <w:tcW w:w="10340" w:type="dxa"/>
            <w:vAlign w:val="center"/>
          </w:tcPr>
          <w:p w14:paraId="3F23A40D">
            <w:pPr>
              <w:spacing w:after="0" w:line="240" w:lineRule="auto"/>
              <w:rPr>
                <w:rFonts w:hint="eastAsia" w:eastAsia="仿宋_GB2312"/>
                <w:lang w:eastAsia="zh-CN"/>
              </w:rPr>
            </w:pPr>
            <w:r>
              <w:rPr>
                <w:rFonts w:ascii="仿宋_GB2312" w:hAnsi="仿宋_GB2312" w:eastAsia="仿宋_GB2312"/>
                <w:b w:val="0"/>
                <w:sz w:val="18"/>
              </w:rPr>
              <w:t>设置两个及以上卫生间的户型，其中一个卫生间应有设置浴缸的条件</w:t>
            </w:r>
            <w:r>
              <w:rPr>
                <w:rFonts w:hint="eastAsia" w:ascii="仿宋_GB2312" w:hAnsi="仿宋_GB2312" w:eastAsia="仿宋_GB2312"/>
                <w:b w:val="0"/>
                <w:sz w:val="18"/>
                <w:lang w:eastAsia="zh-CN"/>
              </w:rPr>
              <w:t>。</w:t>
            </w:r>
          </w:p>
        </w:tc>
        <w:tc>
          <w:tcPr>
            <w:tcW w:w="1619" w:type="dxa"/>
            <w:vAlign w:val="center"/>
          </w:tcPr>
          <w:p w14:paraId="7338B872">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3185055">
            <w:pPr>
              <w:spacing w:after="0" w:line="240" w:lineRule="auto"/>
            </w:pPr>
          </w:p>
        </w:tc>
      </w:tr>
      <w:tr w14:paraId="284B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B825B62">
            <w:pPr>
              <w:spacing w:after="0" w:line="240" w:lineRule="auto"/>
              <w:jc w:val="center"/>
            </w:pPr>
            <w:r>
              <w:rPr>
                <w:rFonts w:ascii="仿宋_GB2312" w:hAnsi="仿宋_GB2312" w:eastAsia="仿宋_GB2312"/>
                <w:b w:val="0"/>
                <w:sz w:val="18"/>
              </w:rPr>
              <w:t>14</w:t>
            </w:r>
          </w:p>
        </w:tc>
        <w:tc>
          <w:tcPr>
            <w:tcW w:w="10340" w:type="dxa"/>
            <w:vAlign w:val="center"/>
          </w:tcPr>
          <w:p w14:paraId="3D0666E9">
            <w:pPr>
              <w:spacing w:after="0" w:line="240" w:lineRule="auto"/>
              <w:rPr>
                <w:rFonts w:hint="eastAsia" w:eastAsia="仿宋_GB2312"/>
                <w:lang w:eastAsia="zh-CN"/>
              </w:rPr>
            </w:pPr>
            <w:r>
              <w:rPr>
                <w:rFonts w:ascii="仿宋_GB2312" w:hAnsi="仿宋_GB2312" w:eastAsia="仿宋_GB2312"/>
                <w:b w:val="0"/>
                <w:sz w:val="18"/>
              </w:rPr>
              <w:t>厨房和卫生间选用变压式排风道，排风管道具备防火导流、防倒灌功能</w:t>
            </w:r>
            <w:r>
              <w:rPr>
                <w:rFonts w:hint="eastAsia" w:ascii="仿宋_GB2312" w:hAnsi="仿宋_GB2312" w:eastAsia="仿宋_GB2312"/>
                <w:b w:val="0"/>
                <w:sz w:val="18"/>
                <w:lang w:eastAsia="zh-CN"/>
              </w:rPr>
              <w:t>。</w:t>
            </w:r>
          </w:p>
        </w:tc>
        <w:tc>
          <w:tcPr>
            <w:tcW w:w="1619" w:type="dxa"/>
            <w:vAlign w:val="center"/>
          </w:tcPr>
          <w:p w14:paraId="0D484832">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47B29083">
            <w:pPr>
              <w:spacing w:after="0" w:line="240" w:lineRule="auto"/>
            </w:pPr>
          </w:p>
        </w:tc>
      </w:tr>
      <w:tr w14:paraId="6CA3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89DF63B">
            <w:pPr>
              <w:spacing w:after="0" w:line="240" w:lineRule="auto"/>
              <w:jc w:val="center"/>
            </w:pPr>
            <w:r>
              <w:rPr>
                <w:rFonts w:ascii="仿宋_GB2312" w:hAnsi="仿宋_GB2312" w:eastAsia="仿宋_GB2312"/>
                <w:b w:val="0"/>
                <w:sz w:val="18"/>
              </w:rPr>
              <w:t>15</w:t>
            </w:r>
          </w:p>
        </w:tc>
        <w:tc>
          <w:tcPr>
            <w:tcW w:w="10340" w:type="dxa"/>
            <w:vAlign w:val="center"/>
          </w:tcPr>
          <w:p w14:paraId="32FBCEDD">
            <w:pPr>
              <w:spacing w:after="0" w:line="240" w:lineRule="auto"/>
              <w:rPr>
                <w:rFonts w:hint="eastAsia" w:eastAsia="仿宋_GB2312"/>
                <w:lang w:eastAsia="zh-CN"/>
              </w:rPr>
            </w:pPr>
            <w:r>
              <w:rPr>
                <w:rFonts w:ascii="仿宋_GB2312" w:hAnsi="仿宋_GB2312" w:eastAsia="仿宋_GB2312"/>
                <w:b w:val="0"/>
                <w:sz w:val="18"/>
              </w:rPr>
              <w:t>排风竖井的支管应设置止回阀，排风竖井顶部设置防止室外空气倒灌的装置</w:t>
            </w:r>
            <w:r>
              <w:rPr>
                <w:rFonts w:hint="eastAsia" w:ascii="仿宋_GB2312" w:hAnsi="仿宋_GB2312" w:eastAsia="仿宋_GB2312"/>
                <w:b w:val="0"/>
                <w:sz w:val="18"/>
                <w:lang w:eastAsia="zh-CN"/>
              </w:rPr>
              <w:t>。</w:t>
            </w:r>
          </w:p>
        </w:tc>
        <w:tc>
          <w:tcPr>
            <w:tcW w:w="1619" w:type="dxa"/>
            <w:vAlign w:val="center"/>
          </w:tcPr>
          <w:p w14:paraId="54DFE522">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233B737E">
            <w:pPr>
              <w:spacing w:after="0" w:line="240" w:lineRule="auto"/>
            </w:pPr>
          </w:p>
        </w:tc>
      </w:tr>
      <w:tr w14:paraId="7EA67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B43387D">
            <w:pPr>
              <w:spacing w:after="0" w:line="240" w:lineRule="auto"/>
              <w:jc w:val="center"/>
            </w:pPr>
            <w:r>
              <w:rPr>
                <w:rFonts w:ascii="仿宋_GB2312" w:hAnsi="仿宋_GB2312" w:eastAsia="仿宋_GB2312"/>
                <w:b w:val="0"/>
                <w:sz w:val="18"/>
              </w:rPr>
              <w:t>16</w:t>
            </w:r>
          </w:p>
        </w:tc>
        <w:tc>
          <w:tcPr>
            <w:tcW w:w="10340" w:type="dxa"/>
            <w:vAlign w:val="center"/>
          </w:tcPr>
          <w:p w14:paraId="21DA9D47">
            <w:pPr>
              <w:spacing w:after="0" w:line="240" w:lineRule="auto"/>
              <w:rPr>
                <w:rFonts w:hint="eastAsia" w:eastAsia="仿宋_GB2312"/>
                <w:lang w:eastAsia="zh-CN"/>
              </w:rPr>
            </w:pPr>
            <w:r>
              <w:rPr>
                <w:rFonts w:ascii="仿宋_GB2312" w:hAnsi="仿宋_GB2312" w:eastAsia="仿宋_GB2312"/>
                <w:b w:val="0"/>
                <w:sz w:val="18"/>
              </w:rPr>
              <w:t>老年人使用的卫生间紧邻老年人卧室布置</w:t>
            </w:r>
            <w:r>
              <w:rPr>
                <w:rFonts w:hint="eastAsia" w:ascii="仿宋_GB2312" w:hAnsi="仿宋_GB2312" w:eastAsia="仿宋_GB2312"/>
                <w:b w:val="0"/>
                <w:sz w:val="18"/>
                <w:lang w:eastAsia="zh-CN"/>
              </w:rPr>
              <w:t>。</w:t>
            </w:r>
          </w:p>
        </w:tc>
        <w:tc>
          <w:tcPr>
            <w:tcW w:w="1619" w:type="dxa"/>
            <w:vAlign w:val="center"/>
          </w:tcPr>
          <w:p w14:paraId="73C3A04C">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E7DE911">
            <w:pPr>
              <w:spacing w:after="0" w:line="240" w:lineRule="auto"/>
            </w:pPr>
          </w:p>
        </w:tc>
      </w:tr>
      <w:tr w14:paraId="6C22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4EE70AC">
            <w:pPr>
              <w:spacing w:after="0" w:line="240" w:lineRule="auto"/>
              <w:jc w:val="center"/>
            </w:pPr>
            <w:r>
              <w:rPr>
                <w:rFonts w:ascii="仿宋_GB2312" w:hAnsi="仿宋_GB2312" w:eastAsia="仿宋_GB2312"/>
                <w:b w:val="0"/>
                <w:sz w:val="18"/>
              </w:rPr>
              <w:t>17</w:t>
            </w:r>
          </w:p>
        </w:tc>
        <w:tc>
          <w:tcPr>
            <w:tcW w:w="10340" w:type="dxa"/>
            <w:vAlign w:val="center"/>
          </w:tcPr>
          <w:p w14:paraId="4F9D7622">
            <w:pPr>
              <w:spacing w:after="0" w:line="240" w:lineRule="auto"/>
              <w:rPr>
                <w:rFonts w:hint="eastAsia" w:eastAsia="仿宋_GB2312"/>
                <w:lang w:eastAsia="zh-CN"/>
              </w:rPr>
            </w:pPr>
            <w:r>
              <w:rPr>
                <w:rFonts w:ascii="仿宋_GB2312" w:hAnsi="仿宋_GB2312" w:eastAsia="仿宋_GB2312"/>
                <w:b w:val="0"/>
                <w:sz w:val="18"/>
              </w:rPr>
              <w:t>入户空间预留放置坐凳的空间</w:t>
            </w:r>
            <w:r>
              <w:rPr>
                <w:rFonts w:hint="eastAsia" w:ascii="仿宋_GB2312" w:hAnsi="仿宋_GB2312" w:eastAsia="仿宋_GB2312"/>
                <w:b w:val="0"/>
                <w:sz w:val="18"/>
                <w:lang w:eastAsia="zh-CN"/>
              </w:rPr>
              <w:t>。</w:t>
            </w:r>
          </w:p>
        </w:tc>
        <w:tc>
          <w:tcPr>
            <w:tcW w:w="1619" w:type="dxa"/>
            <w:vAlign w:val="center"/>
          </w:tcPr>
          <w:p w14:paraId="79C50769">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2C573B7F">
            <w:pPr>
              <w:spacing w:after="0" w:line="240" w:lineRule="auto"/>
            </w:pPr>
          </w:p>
        </w:tc>
      </w:tr>
      <w:tr w14:paraId="4F0E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7D64C27">
            <w:pPr>
              <w:spacing w:after="0" w:line="240" w:lineRule="auto"/>
              <w:jc w:val="center"/>
            </w:pPr>
            <w:r>
              <w:rPr>
                <w:rFonts w:ascii="仿宋_GB2312" w:hAnsi="仿宋_GB2312" w:eastAsia="仿宋_GB2312"/>
                <w:b w:val="0"/>
                <w:sz w:val="18"/>
              </w:rPr>
              <w:t>18</w:t>
            </w:r>
          </w:p>
        </w:tc>
        <w:tc>
          <w:tcPr>
            <w:tcW w:w="10340" w:type="dxa"/>
            <w:vAlign w:val="center"/>
          </w:tcPr>
          <w:p w14:paraId="37CD9273">
            <w:pPr>
              <w:spacing w:after="0" w:line="240" w:lineRule="auto"/>
              <w:rPr>
                <w:rFonts w:hint="eastAsia" w:eastAsia="仿宋_GB2312"/>
                <w:lang w:eastAsia="zh-CN"/>
              </w:rPr>
            </w:pPr>
            <w:r>
              <w:rPr>
                <w:rFonts w:ascii="仿宋_GB2312" w:hAnsi="仿宋_GB2312" w:eastAsia="仿宋_GB2312"/>
                <w:b w:val="0"/>
                <w:sz w:val="18"/>
              </w:rPr>
              <w:t>户内空间满足居家照护服务功能需求</w:t>
            </w:r>
            <w:r>
              <w:rPr>
                <w:rFonts w:hint="eastAsia" w:ascii="仿宋_GB2312" w:hAnsi="仿宋_GB2312" w:eastAsia="仿宋_GB2312"/>
                <w:b w:val="0"/>
                <w:sz w:val="18"/>
                <w:lang w:eastAsia="zh-CN"/>
              </w:rPr>
              <w:t>。</w:t>
            </w:r>
          </w:p>
        </w:tc>
        <w:tc>
          <w:tcPr>
            <w:tcW w:w="1619" w:type="dxa"/>
            <w:vAlign w:val="center"/>
          </w:tcPr>
          <w:p w14:paraId="0CFE8C69">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7D6DC53B">
            <w:pPr>
              <w:spacing w:after="0" w:line="240" w:lineRule="auto"/>
            </w:pPr>
          </w:p>
        </w:tc>
      </w:tr>
      <w:tr w14:paraId="3ECDC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BD3590F">
            <w:pPr>
              <w:spacing w:after="0" w:line="240" w:lineRule="auto"/>
              <w:jc w:val="center"/>
            </w:pPr>
            <w:r>
              <w:rPr>
                <w:rFonts w:ascii="仿宋_GB2312" w:hAnsi="仿宋_GB2312" w:eastAsia="仿宋_GB2312"/>
                <w:b w:val="0"/>
                <w:sz w:val="18"/>
              </w:rPr>
              <w:t>19</w:t>
            </w:r>
          </w:p>
        </w:tc>
        <w:tc>
          <w:tcPr>
            <w:tcW w:w="10340" w:type="dxa"/>
            <w:vAlign w:val="center"/>
          </w:tcPr>
          <w:p w14:paraId="50DDD8E2">
            <w:pPr>
              <w:spacing w:after="0" w:line="240" w:lineRule="auto"/>
              <w:rPr>
                <w:rFonts w:hint="eastAsia" w:eastAsia="仿宋_GB2312"/>
                <w:lang w:eastAsia="zh-CN"/>
              </w:rPr>
            </w:pPr>
            <w:r>
              <w:rPr>
                <w:rFonts w:ascii="仿宋_GB2312" w:hAnsi="仿宋_GB2312" w:eastAsia="仿宋_GB2312"/>
                <w:b w:val="0"/>
                <w:sz w:val="18"/>
              </w:rPr>
              <w:t>户门内外无存在高差</w:t>
            </w:r>
            <w:r>
              <w:rPr>
                <w:rFonts w:hint="eastAsia" w:ascii="仿宋_GB2312" w:hAnsi="仿宋_GB2312" w:eastAsia="仿宋_GB2312"/>
                <w:b w:val="0"/>
                <w:sz w:val="18"/>
                <w:lang w:eastAsia="zh-CN"/>
              </w:rPr>
              <w:t>。</w:t>
            </w:r>
          </w:p>
        </w:tc>
        <w:tc>
          <w:tcPr>
            <w:tcW w:w="1619" w:type="dxa"/>
            <w:vAlign w:val="center"/>
          </w:tcPr>
          <w:p w14:paraId="2CC8FB14">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F5F970D">
            <w:pPr>
              <w:spacing w:after="0" w:line="240" w:lineRule="auto"/>
            </w:pPr>
          </w:p>
        </w:tc>
      </w:tr>
      <w:tr w14:paraId="21F20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CF4A7F7">
            <w:pPr>
              <w:spacing w:after="0" w:line="240" w:lineRule="auto"/>
              <w:jc w:val="center"/>
            </w:pPr>
            <w:r>
              <w:rPr>
                <w:rFonts w:ascii="仿宋_GB2312" w:hAnsi="仿宋_GB2312" w:eastAsia="仿宋_GB2312"/>
                <w:b w:val="0"/>
                <w:sz w:val="18"/>
              </w:rPr>
              <w:t>20</w:t>
            </w:r>
          </w:p>
        </w:tc>
        <w:tc>
          <w:tcPr>
            <w:tcW w:w="10340" w:type="dxa"/>
            <w:vAlign w:val="center"/>
          </w:tcPr>
          <w:p w14:paraId="512538F3">
            <w:pPr>
              <w:spacing w:after="0" w:line="240" w:lineRule="auto"/>
              <w:rPr>
                <w:rFonts w:hint="eastAsia" w:eastAsia="仿宋_GB2312"/>
                <w:lang w:eastAsia="zh-CN"/>
              </w:rPr>
            </w:pPr>
            <w:r>
              <w:rPr>
                <w:rFonts w:ascii="仿宋_GB2312" w:hAnsi="仿宋_GB2312" w:eastAsia="仿宋_GB2312"/>
                <w:b w:val="0"/>
                <w:sz w:val="18"/>
              </w:rPr>
              <w:t>围护结构内表面采用抗菌涂料、抗菌石膏板、抗菌无机预涂板等抗菌材料</w:t>
            </w:r>
            <w:r>
              <w:rPr>
                <w:rFonts w:hint="eastAsia" w:ascii="仿宋_GB2312" w:hAnsi="仿宋_GB2312" w:eastAsia="仿宋_GB2312"/>
                <w:b w:val="0"/>
                <w:sz w:val="18"/>
                <w:lang w:eastAsia="zh-CN"/>
              </w:rPr>
              <w:t>。</w:t>
            </w:r>
          </w:p>
        </w:tc>
        <w:tc>
          <w:tcPr>
            <w:tcW w:w="1619" w:type="dxa"/>
            <w:vAlign w:val="center"/>
          </w:tcPr>
          <w:p w14:paraId="714C9EA0">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08CA5082">
            <w:pPr>
              <w:spacing w:after="0" w:line="240" w:lineRule="auto"/>
            </w:pPr>
          </w:p>
        </w:tc>
      </w:tr>
      <w:tr w14:paraId="0149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C3E50A6">
            <w:pPr>
              <w:spacing w:after="0" w:line="240" w:lineRule="auto"/>
              <w:jc w:val="center"/>
            </w:pPr>
            <w:r>
              <w:rPr>
                <w:rFonts w:ascii="仿宋_GB2312" w:hAnsi="仿宋_GB2312" w:eastAsia="仿宋_GB2312"/>
                <w:b w:val="0"/>
                <w:sz w:val="18"/>
              </w:rPr>
              <w:t>21</w:t>
            </w:r>
          </w:p>
        </w:tc>
        <w:tc>
          <w:tcPr>
            <w:tcW w:w="10340" w:type="dxa"/>
            <w:vAlign w:val="center"/>
          </w:tcPr>
          <w:p w14:paraId="4435B146">
            <w:pPr>
              <w:spacing w:after="0" w:line="240" w:lineRule="auto"/>
              <w:rPr>
                <w:rFonts w:hint="eastAsia" w:eastAsia="仿宋_GB2312"/>
                <w:lang w:eastAsia="zh-CN"/>
              </w:rPr>
            </w:pPr>
            <w:r>
              <w:rPr>
                <w:rFonts w:ascii="仿宋_GB2312" w:hAnsi="仿宋_GB2312" w:eastAsia="仿宋_GB2312"/>
                <w:b w:val="0"/>
                <w:sz w:val="18"/>
              </w:rPr>
              <w:t>围护结构接缝处填充防霉密封胶或填缝剂</w:t>
            </w:r>
            <w:r>
              <w:rPr>
                <w:rFonts w:hint="eastAsia" w:ascii="仿宋_GB2312" w:hAnsi="仿宋_GB2312" w:eastAsia="仿宋_GB2312"/>
                <w:b w:val="0"/>
                <w:sz w:val="18"/>
                <w:lang w:eastAsia="zh-CN"/>
              </w:rPr>
              <w:t>。</w:t>
            </w:r>
          </w:p>
        </w:tc>
        <w:tc>
          <w:tcPr>
            <w:tcW w:w="1619" w:type="dxa"/>
            <w:vAlign w:val="center"/>
          </w:tcPr>
          <w:p w14:paraId="70EBAECF">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736BD17C">
            <w:pPr>
              <w:spacing w:after="0" w:line="240" w:lineRule="auto"/>
            </w:pPr>
          </w:p>
        </w:tc>
      </w:tr>
      <w:tr w14:paraId="0BE8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5CB8321">
            <w:pPr>
              <w:spacing w:after="0" w:line="240" w:lineRule="auto"/>
              <w:jc w:val="center"/>
            </w:pPr>
            <w:r>
              <w:rPr>
                <w:rFonts w:ascii="仿宋_GB2312" w:hAnsi="仿宋_GB2312" w:eastAsia="仿宋_GB2312"/>
                <w:b w:val="0"/>
                <w:sz w:val="18"/>
              </w:rPr>
              <w:t>22</w:t>
            </w:r>
          </w:p>
        </w:tc>
        <w:tc>
          <w:tcPr>
            <w:tcW w:w="10340" w:type="dxa"/>
            <w:vAlign w:val="center"/>
          </w:tcPr>
          <w:p w14:paraId="3B887662">
            <w:pPr>
              <w:spacing w:after="0" w:line="240" w:lineRule="auto"/>
              <w:rPr>
                <w:rFonts w:hint="eastAsia" w:eastAsia="仿宋_GB2312"/>
                <w:lang w:eastAsia="zh-CN"/>
              </w:rPr>
            </w:pPr>
            <w:r>
              <w:rPr>
                <w:rFonts w:ascii="仿宋_GB2312" w:hAnsi="仿宋_GB2312" w:eastAsia="仿宋_GB2312"/>
                <w:b w:val="0"/>
                <w:sz w:val="18"/>
              </w:rPr>
              <w:t>公共空间内设备井检修门开启时不影响相邻住户户门的开启</w:t>
            </w:r>
            <w:r>
              <w:rPr>
                <w:rFonts w:hint="eastAsia" w:ascii="仿宋_GB2312" w:hAnsi="仿宋_GB2312" w:eastAsia="仿宋_GB2312"/>
                <w:b w:val="0"/>
                <w:sz w:val="18"/>
                <w:lang w:eastAsia="zh-CN"/>
              </w:rPr>
              <w:t>。</w:t>
            </w:r>
          </w:p>
        </w:tc>
        <w:tc>
          <w:tcPr>
            <w:tcW w:w="1619" w:type="dxa"/>
            <w:vAlign w:val="center"/>
          </w:tcPr>
          <w:p w14:paraId="1846E915">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6FCEA163">
            <w:pPr>
              <w:spacing w:after="0" w:line="240" w:lineRule="auto"/>
              <w:rPr>
                <w:rFonts w:hint="default" w:ascii="仿宋_GB2312" w:hAnsi="仿宋_GB2312" w:eastAsia="仿宋_GB2312"/>
                <w:b w:val="0"/>
                <w:sz w:val="18"/>
                <w:lang w:val="en-US" w:eastAsia="zh-CN"/>
              </w:rPr>
            </w:pPr>
            <w:r>
              <w:rPr>
                <w:rFonts w:hint="eastAsia" w:ascii="仿宋_GB2312" w:hAnsi="仿宋_GB2312" w:eastAsia="仿宋_GB2312"/>
                <w:b w:val="0"/>
                <w:sz w:val="18"/>
                <w:lang w:val="en-US" w:eastAsia="zh-CN"/>
              </w:rPr>
              <w:t>满足</w:t>
            </w:r>
            <w:r>
              <w:rPr>
                <w:rFonts w:hint="default" w:ascii="仿宋_GB2312" w:hAnsi="仿宋_GB2312" w:eastAsia="仿宋_GB2312"/>
                <w:b w:val="0"/>
                <w:sz w:val="18"/>
                <w:lang w:val="en-US" w:eastAsia="zh-CN"/>
              </w:rPr>
              <w:t>1</w:t>
            </w:r>
            <w:r>
              <w:rPr>
                <w:rFonts w:hint="eastAsia" w:ascii="仿宋_GB2312" w:hAnsi="仿宋_GB2312" w:eastAsia="仿宋_GB2312"/>
                <w:b w:val="0"/>
                <w:sz w:val="18"/>
                <w:lang w:val="en-US" w:eastAsia="zh-CN"/>
              </w:rPr>
              <w:t>项</w:t>
            </w:r>
            <w:r>
              <w:rPr>
                <w:rFonts w:hint="default" w:ascii="仿宋_GB2312" w:hAnsi="仿宋_GB2312" w:eastAsia="仿宋_GB2312"/>
                <w:b w:val="0"/>
                <w:sz w:val="18"/>
                <w:lang w:val="en-US" w:eastAsia="zh-CN"/>
              </w:rPr>
              <w:t>3</w:t>
            </w:r>
            <w:r>
              <w:rPr>
                <w:rFonts w:hint="eastAsia" w:ascii="仿宋_GB2312" w:hAnsi="仿宋_GB2312" w:eastAsia="仿宋_GB2312"/>
                <w:b w:val="0"/>
                <w:sz w:val="18"/>
                <w:lang w:val="en-US" w:eastAsia="zh-CN"/>
              </w:rPr>
              <w:t>分，满足</w:t>
            </w:r>
            <w:r>
              <w:rPr>
                <w:rFonts w:hint="default" w:ascii="仿宋_GB2312" w:hAnsi="仿宋_GB2312" w:eastAsia="仿宋_GB2312"/>
                <w:b w:val="0"/>
                <w:sz w:val="18"/>
                <w:lang w:val="en-US" w:eastAsia="zh-CN"/>
              </w:rPr>
              <w:t>3</w:t>
            </w:r>
            <w:r>
              <w:rPr>
                <w:rFonts w:hint="eastAsia" w:ascii="仿宋_GB2312" w:hAnsi="仿宋_GB2312" w:eastAsia="仿宋_GB2312"/>
                <w:b w:val="0"/>
                <w:sz w:val="18"/>
                <w:lang w:val="en-US" w:eastAsia="zh-CN"/>
              </w:rPr>
              <w:t>项</w:t>
            </w:r>
            <w:r>
              <w:rPr>
                <w:rFonts w:hint="default" w:ascii="仿宋_GB2312" w:hAnsi="仿宋_GB2312" w:eastAsia="仿宋_GB2312"/>
                <w:b w:val="0"/>
                <w:sz w:val="18"/>
                <w:lang w:val="en-US" w:eastAsia="zh-CN"/>
              </w:rPr>
              <w:t>10</w:t>
            </w:r>
            <w:r>
              <w:rPr>
                <w:rFonts w:hint="eastAsia" w:ascii="仿宋_GB2312" w:hAnsi="仿宋_GB2312" w:eastAsia="仿宋_GB2312"/>
                <w:b w:val="0"/>
                <w:sz w:val="18"/>
                <w:lang w:val="en-US" w:eastAsia="zh-CN"/>
              </w:rPr>
              <w:t>分</w:t>
            </w:r>
          </w:p>
          <w:p w14:paraId="4E2AF89A">
            <w:pPr>
              <w:spacing w:after="0" w:line="240" w:lineRule="auto"/>
              <w:rPr>
                <w:rFonts w:hint="default" w:ascii="仿宋_GB2312" w:hAnsi="仿宋_GB2312" w:eastAsia="仿宋_GB2312"/>
                <w:b w:val="0"/>
                <w:sz w:val="18"/>
                <w:lang w:val="en-US" w:eastAsia="zh-CN"/>
              </w:rPr>
            </w:pPr>
            <w:r>
              <w:rPr>
                <w:rFonts w:hint="eastAsia" w:ascii="仿宋_GB2312" w:hAnsi="仿宋_GB2312" w:eastAsia="仿宋_GB2312"/>
                <w:b w:val="0"/>
                <w:sz w:val="18"/>
                <w:lang w:val="en-US" w:eastAsia="zh-CN"/>
              </w:rPr>
              <w:t>满足</w:t>
            </w:r>
            <w:r>
              <w:rPr>
                <w:rFonts w:hint="default" w:ascii="仿宋_GB2312" w:hAnsi="仿宋_GB2312" w:eastAsia="仿宋_GB2312"/>
                <w:b w:val="0"/>
                <w:sz w:val="18"/>
                <w:lang w:val="en-US" w:eastAsia="zh-CN"/>
              </w:rPr>
              <w:t>5</w:t>
            </w:r>
            <w:r>
              <w:rPr>
                <w:rFonts w:hint="eastAsia" w:ascii="仿宋_GB2312" w:hAnsi="仿宋_GB2312" w:eastAsia="仿宋_GB2312"/>
                <w:b w:val="0"/>
                <w:sz w:val="18"/>
                <w:lang w:val="en-US" w:eastAsia="zh-CN"/>
              </w:rPr>
              <w:t>项以上</w:t>
            </w:r>
            <w:r>
              <w:rPr>
                <w:rFonts w:hint="default" w:ascii="仿宋_GB2312" w:hAnsi="仿宋_GB2312" w:eastAsia="仿宋_GB2312"/>
                <w:b w:val="0"/>
                <w:sz w:val="18"/>
                <w:lang w:val="en-US" w:eastAsia="zh-CN"/>
              </w:rPr>
              <w:t>2</w:t>
            </w:r>
            <w:r>
              <w:rPr>
                <w:rFonts w:hint="eastAsia" w:ascii="仿宋_GB2312" w:hAnsi="仿宋_GB2312" w:eastAsia="仿宋_GB2312"/>
                <w:b w:val="0"/>
                <w:sz w:val="18"/>
                <w:lang w:val="en-US" w:eastAsia="zh"/>
              </w:rPr>
              <w:t>5</w:t>
            </w:r>
            <w:r>
              <w:rPr>
                <w:rFonts w:hint="eastAsia" w:ascii="仿宋_GB2312" w:hAnsi="仿宋_GB2312" w:eastAsia="仿宋_GB2312"/>
                <w:b w:val="0"/>
                <w:sz w:val="18"/>
                <w:lang w:val="en-US" w:eastAsia="zh-CN"/>
              </w:rPr>
              <w:t>分</w:t>
            </w:r>
          </w:p>
          <w:p w14:paraId="68F3727C">
            <w:pPr>
              <w:spacing w:after="0" w:line="240" w:lineRule="auto"/>
              <w:ind w:firstLine="468" w:firstLineChars="0"/>
            </w:pPr>
          </w:p>
        </w:tc>
      </w:tr>
      <w:tr w14:paraId="3D0D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406C1EC">
            <w:pPr>
              <w:spacing w:after="0" w:line="240" w:lineRule="auto"/>
              <w:jc w:val="center"/>
            </w:pPr>
            <w:r>
              <w:rPr>
                <w:rFonts w:ascii="仿宋_GB2312" w:hAnsi="仿宋_GB2312" w:eastAsia="仿宋_GB2312"/>
                <w:b w:val="0"/>
                <w:sz w:val="18"/>
              </w:rPr>
              <w:t>23</w:t>
            </w:r>
          </w:p>
        </w:tc>
        <w:tc>
          <w:tcPr>
            <w:tcW w:w="10340" w:type="dxa"/>
            <w:vAlign w:val="center"/>
          </w:tcPr>
          <w:p w14:paraId="4F4E52F1">
            <w:pPr>
              <w:spacing w:after="0" w:line="240" w:lineRule="auto"/>
              <w:rPr>
                <w:rFonts w:hint="eastAsia" w:eastAsia="仿宋_GB2312"/>
                <w:lang w:eastAsia="zh-CN"/>
              </w:rPr>
            </w:pPr>
            <w:r>
              <w:rPr>
                <w:rFonts w:ascii="仿宋_GB2312" w:hAnsi="仿宋_GB2312" w:eastAsia="仿宋_GB2312"/>
                <w:b w:val="0"/>
                <w:sz w:val="18"/>
              </w:rPr>
              <w:t>室外机应便于空调的安装、检修与更换，机位与阳台或凸窗相连，能通过门或外窗开启扇直达</w:t>
            </w:r>
            <w:r>
              <w:rPr>
                <w:rFonts w:hint="eastAsia" w:ascii="仿宋_GB2312" w:hAnsi="仿宋_GB2312" w:eastAsia="仿宋_GB2312"/>
                <w:b w:val="0"/>
                <w:sz w:val="18"/>
                <w:lang w:eastAsia="zh-CN"/>
              </w:rPr>
              <w:t>。</w:t>
            </w:r>
          </w:p>
        </w:tc>
        <w:tc>
          <w:tcPr>
            <w:tcW w:w="1619" w:type="dxa"/>
            <w:vAlign w:val="center"/>
          </w:tcPr>
          <w:p w14:paraId="7E1CB481">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11D45549">
            <w:pPr>
              <w:spacing w:after="0" w:line="240" w:lineRule="auto"/>
            </w:pPr>
          </w:p>
        </w:tc>
      </w:tr>
      <w:tr w14:paraId="02BD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AF7E8B7">
            <w:pPr>
              <w:spacing w:after="0" w:line="240" w:lineRule="auto"/>
              <w:jc w:val="center"/>
            </w:pPr>
            <w:r>
              <w:rPr>
                <w:rFonts w:ascii="仿宋_GB2312" w:hAnsi="仿宋_GB2312" w:eastAsia="仿宋_GB2312"/>
                <w:b w:val="0"/>
                <w:sz w:val="18"/>
              </w:rPr>
              <w:t>24</w:t>
            </w:r>
          </w:p>
        </w:tc>
        <w:tc>
          <w:tcPr>
            <w:tcW w:w="10340" w:type="dxa"/>
            <w:vAlign w:val="center"/>
          </w:tcPr>
          <w:p w14:paraId="7FA109E1">
            <w:pPr>
              <w:spacing w:after="0" w:line="240" w:lineRule="auto"/>
              <w:rPr>
                <w:rFonts w:hint="eastAsia" w:eastAsia="仿宋_GB2312"/>
                <w:lang w:eastAsia="zh-CN"/>
              </w:rPr>
            </w:pPr>
            <w:r>
              <w:rPr>
                <w:rFonts w:ascii="仿宋_GB2312" w:hAnsi="仿宋_GB2312" w:eastAsia="仿宋_GB2312"/>
                <w:b w:val="0"/>
                <w:sz w:val="18"/>
              </w:rPr>
              <w:t>空调室外机位尺寸应根据空调机型确定，分体式空调室外机位净尺寸≥1.20m×0.70m×0.90m（长×宽×高），集中式空调室外机位净尺寸≥1.50m×1.0m×1.60m（长×宽×高）</w:t>
            </w:r>
            <w:r>
              <w:rPr>
                <w:rFonts w:hint="eastAsia" w:ascii="仿宋_GB2312" w:hAnsi="仿宋_GB2312" w:eastAsia="仿宋_GB2312"/>
                <w:b w:val="0"/>
                <w:sz w:val="18"/>
                <w:lang w:eastAsia="zh-CN"/>
              </w:rPr>
              <w:t>。</w:t>
            </w:r>
          </w:p>
        </w:tc>
        <w:tc>
          <w:tcPr>
            <w:tcW w:w="1619" w:type="dxa"/>
            <w:vAlign w:val="center"/>
          </w:tcPr>
          <w:p w14:paraId="2AA555E8">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2C0E85C">
            <w:pPr>
              <w:spacing w:after="0" w:line="240" w:lineRule="auto"/>
            </w:pPr>
          </w:p>
        </w:tc>
      </w:tr>
      <w:tr w14:paraId="0FF3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41B1FC9">
            <w:pPr>
              <w:spacing w:after="0" w:line="240" w:lineRule="auto"/>
              <w:jc w:val="center"/>
            </w:pPr>
            <w:r>
              <w:rPr>
                <w:rFonts w:ascii="仿宋_GB2312" w:hAnsi="仿宋_GB2312" w:eastAsia="仿宋_GB2312"/>
                <w:b w:val="0"/>
                <w:sz w:val="18"/>
              </w:rPr>
              <w:t>25</w:t>
            </w:r>
          </w:p>
        </w:tc>
        <w:tc>
          <w:tcPr>
            <w:tcW w:w="10340" w:type="dxa"/>
            <w:vAlign w:val="center"/>
          </w:tcPr>
          <w:p w14:paraId="7153F225">
            <w:pPr>
              <w:spacing w:after="0" w:line="240" w:lineRule="auto"/>
              <w:rPr>
                <w:rFonts w:hint="eastAsia" w:eastAsia="仿宋_GB2312"/>
                <w:lang w:eastAsia="zh-CN"/>
              </w:rPr>
            </w:pPr>
            <w:r>
              <w:rPr>
                <w:rFonts w:ascii="仿宋_GB2312" w:hAnsi="仿宋_GB2312" w:eastAsia="仿宋_GB2312"/>
                <w:b w:val="0"/>
                <w:sz w:val="18"/>
              </w:rPr>
              <w:t>室外机出风口距道路和对侧外窗的距离≥4.00m；若无法满足该要求，应调整室外机出风口方向或采取绿植等防护措施</w:t>
            </w:r>
            <w:r>
              <w:rPr>
                <w:rFonts w:hint="eastAsia" w:ascii="仿宋_GB2312" w:hAnsi="仿宋_GB2312" w:eastAsia="仿宋_GB2312"/>
                <w:b w:val="0"/>
                <w:sz w:val="18"/>
                <w:lang w:eastAsia="zh-CN"/>
              </w:rPr>
              <w:t>。</w:t>
            </w:r>
          </w:p>
        </w:tc>
        <w:tc>
          <w:tcPr>
            <w:tcW w:w="1619" w:type="dxa"/>
            <w:vAlign w:val="center"/>
          </w:tcPr>
          <w:p w14:paraId="5BA8E622">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178A334F">
            <w:pPr>
              <w:spacing w:after="0" w:line="240" w:lineRule="auto"/>
            </w:pPr>
          </w:p>
        </w:tc>
      </w:tr>
      <w:tr w14:paraId="010B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20667C7">
            <w:pPr>
              <w:spacing w:after="0" w:line="240" w:lineRule="auto"/>
              <w:jc w:val="center"/>
            </w:pPr>
            <w:r>
              <w:rPr>
                <w:rFonts w:ascii="仿宋_GB2312" w:hAnsi="仿宋_GB2312" w:eastAsia="仿宋_GB2312"/>
                <w:b w:val="0"/>
                <w:sz w:val="18"/>
              </w:rPr>
              <w:t>26</w:t>
            </w:r>
          </w:p>
        </w:tc>
        <w:tc>
          <w:tcPr>
            <w:tcW w:w="10340" w:type="dxa"/>
            <w:vAlign w:val="center"/>
          </w:tcPr>
          <w:p w14:paraId="05B1004C">
            <w:pPr>
              <w:spacing w:after="0" w:line="240" w:lineRule="auto"/>
              <w:rPr>
                <w:rFonts w:hint="eastAsia" w:eastAsia="仿宋_GB2312"/>
                <w:lang w:eastAsia="zh-CN"/>
              </w:rPr>
            </w:pPr>
            <w:r>
              <w:rPr>
                <w:rFonts w:ascii="仿宋_GB2312" w:hAnsi="仿宋_GB2312" w:eastAsia="仿宋_GB2312"/>
                <w:b w:val="0"/>
                <w:sz w:val="18"/>
              </w:rPr>
              <w:t>门厅使用面积≥12m²</w:t>
            </w:r>
            <w:r>
              <w:rPr>
                <w:rFonts w:hint="eastAsia" w:ascii="仿宋_GB2312" w:hAnsi="仿宋_GB2312" w:eastAsia="仿宋_GB2312"/>
                <w:b w:val="0"/>
                <w:sz w:val="18"/>
                <w:lang w:eastAsia="zh-CN"/>
              </w:rPr>
              <w:t>。</w:t>
            </w:r>
          </w:p>
        </w:tc>
        <w:tc>
          <w:tcPr>
            <w:tcW w:w="1619" w:type="dxa"/>
            <w:vAlign w:val="center"/>
          </w:tcPr>
          <w:p w14:paraId="25833E9F">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25F3014A">
            <w:pPr>
              <w:spacing w:after="0" w:line="240" w:lineRule="auto"/>
            </w:pPr>
          </w:p>
        </w:tc>
      </w:tr>
      <w:tr w14:paraId="51C9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9C5328B">
            <w:pPr>
              <w:spacing w:after="0" w:line="240" w:lineRule="auto"/>
              <w:jc w:val="center"/>
            </w:pPr>
            <w:r>
              <w:rPr>
                <w:rFonts w:ascii="仿宋_GB2312" w:hAnsi="仿宋_GB2312" w:eastAsia="仿宋_GB2312"/>
                <w:b w:val="0"/>
                <w:sz w:val="18"/>
              </w:rPr>
              <w:t>27</w:t>
            </w:r>
          </w:p>
        </w:tc>
        <w:tc>
          <w:tcPr>
            <w:tcW w:w="10340" w:type="dxa"/>
            <w:vAlign w:val="center"/>
          </w:tcPr>
          <w:p w14:paraId="7786A758">
            <w:pPr>
              <w:spacing w:after="0" w:line="240" w:lineRule="auto"/>
              <w:rPr>
                <w:rFonts w:hint="eastAsia" w:eastAsia="仿宋_GB2312"/>
                <w:lang w:eastAsia="zh-CN"/>
              </w:rPr>
            </w:pPr>
            <w:r>
              <w:rPr>
                <w:rFonts w:ascii="仿宋_GB2312" w:hAnsi="仿宋_GB2312" w:eastAsia="仿宋_GB2312"/>
                <w:b w:val="0"/>
                <w:sz w:val="18"/>
              </w:rPr>
              <w:t>地下汽车库通往单元的入口处设置地下门厅，其装修标准宜参照首层入户门厅</w:t>
            </w:r>
            <w:r>
              <w:rPr>
                <w:rFonts w:hint="eastAsia" w:ascii="仿宋_GB2312" w:hAnsi="仿宋_GB2312" w:eastAsia="仿宋_GB2312"/>
                <w:b w:val="0"/>
                <w:sz w:val="18"/>
                <w:lang w:eastAsia="zh-CN"/>
              </w:rPr>
              <w:t>。</w:t>
            </w:r>
          </w:p>
        </w:tc>
        <w:tc>
          <w:tcPr>
            <w:tcW w:w="1619" w:type="dxa"/>
            <w:vAlign w:val="center"/>
          </w:tcPr>
          <w:p w14:paraId="504E5C7E">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299081D4">
            <w:pPr>
              <w:spacing w:after="0" w:line="240" w:lineRule="auto"/>
            </w:pPr>
          </w:p>
        </w:tc>
      </w:tr>
      <w:tr w14:paraId="16D9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E885F34">
            <w:pPr>
              <w:spacing w:after="0" w:line="240" w:lineRule="auto"/>
              <w:jc w:val="center"/>
            </w:pPr>
            <w:r>
              <w:rPr>
                <w:rFonts w:ascii="仿宋_GB2312" w:hAnsi="仿宋_GB2312" w:eastAsia="仿宋_GB2312"/>
                <w:b w:val="0"/>
                <w:sz w:val="18"/>
              </w:rPr>
              <w:t>28</w:t>
            </w:r>
          </w:p>
        </w:tc>
        <w:tc>
          <w:tcPr>
            <w:tcW w:w="10340" w:type="dxa"/>
            <w:vAlign w:val="center"/>
          </w:tcPr>
          <w:p w14:paraId="4793258D">
            <w:pPr>
              <w:spacing w:after="0" w:line="240" w:lineRule="auto"/>
              <w:rPr>
                <w:rFonts w:hint="eastAsia" w:eastAsia="仿宋_GB2312"/>
                <w:lang w:eastAsia="zh-CN"/>
              </w:rPr>
            </w:pPr>
            <w:r>
              <w:rPr>
                <w:rFonts w:ascii="仿宋_GB2312" w:hAnsi="仿宋_GB2312" w:eastAsia="仿宋_GB2312"/>
                <w:b w:val="0"/>
                <w:sz w:val="18"/>
              </w:rPr>
              <w:t>公共出入口处宜结合门厅配置智能信包箱、快递及外卖暂存等功能空间</w:t>
            </w:r>
            <w:r>
              <w:rPr>
                <w:rFonts w:hint="eastAsia" w:ascii="仿宋_GB2312" w:hAnsi="仿宋_GB2312" w:eastAsia="仿宋_GB2312"/>
                <w:b w:val="0"/>
                <w:sz w:val="18"/>
                <w:lang w:eastAsia="zh-CN"/>
              </w:rPr>
              <w:t>。</w:t>
            </w:r>
          </w:p>
        </w:tc>
        <w:tc>
          <w:tcPr>
            <w:tcW w:w="1619" w:type="dxa"/>
            <w:vAlign w:val="center"/>
          </w:tcPr>
          <w:p w14:paraId="45E249EE">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156E6762">
            <w:pPr>
              <w:spacing w:after="0" w:line="240" w:lineRule="auto"/>
            </w:pPr>
          </w:p>
        </w:tc>
      </w:tr>
      <w:tr w14:paraId="3344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EC7EAA3">
            <w:pPr>
              <w:spacing w:after="0" w:line="240" w:lineRule="auto"/>
              <w:jc w:val="center"/>
            </w:pPr>
            <w:r>
              <w:rPr>
                <w:rFonts w:ascii="仿宋_GB2312" w:hAnsi="仿宋_GB2312" w:eastAsia="仿宋_GB2312"/>
                <w:b w:val="0"/>
                <w:sz w:val="18"/>
              </w:rPr>
              <w:t>29</w:t>
            </w:r>
          </w:p>
        </w:tc>
        <w:tc>
          <w:tcPr>
            <w:tcW w:w="10340" w:type="dxa"/>
            <w:vAlign w:val="center"/>
          </w:tcPr>
          <w:p w14:paraId="1B8042CC">
            <w:pPr>
              <w:spacing w:after="0" w:line="240" w:lineRule="auto"/>
              <w:rPr>
                <w:rFonts w:hint="eastAsia" w:eastAsia="仿宋_GB2312"/>
                <w:lang w:eastAsia="zh-CN"/>
              </w:rPr>
            </w:pPr>
            <w:r>
              <w:rPr>
                <w:rFonts w:ascii="仿宋_GB2312" w:hAnsi="仿宋_GB2312" w:eastAsia="仿宋_GB2312"/>
                <w:b w:val="0"/>
                <w:sz w:val="18"/>
              </w:rPr>
              <w:t>与主要居室外窗之间的距离≥10m，坡道面层应采用降噪防滑措施</w:t>
            </w:r>
            <w:r>
              <w:rPr>
                <w:rFonts w:hint="eastAsia" w:ascii="仿宋_GB2312" w:hAnsi="仿宋_GB2312" w:eastAsia="仿宋_GB2312"/>
                <w:b w:val="0"/>
                <w:sz w:val="18"/>
                <w:lang w:eastAsia="zh-CN"/>
              </w:rPr>
              <w:t>。</w:t>
            </w:r>
          </w:p>
        </w:tc>
        <w:tc>
          <w:tcPr>
            <w:tcW w:w="1619" w:type="dxa"/>
            <w:vAlign w:val="center"/>
          </w:tcPr>
          <w:p w14:paraId="60B0650F">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4501EF68">
            <w:pPr>
              <w:spacing w:after="0" w:line="240" w:lineRule="auto"/>
            </w:pPr>
            <w:r>
              <w:rPr>
                <w:rFonts w:hint="eastAsia" w:ascii="仿宋_GB2312" w:hAnsi="仿宋_GB2312" w:eastAsia="仿宋_GB2312"/>
                <w:b w:val="0"/>
                <w:sz w:val="18"/>
                <w:lang w:val="en-US" w:eastAsia="zh-CN"/>
              </w:rPr>
              <w:t>满足</w:t>
            </w:r>
            <w:r>
              <w:rPr>
                <w:rFonts w:hint="default" w:ascii="仿宋_GB2312" w:hAnsi="仿宋_GB2312" w:eastAsia="仿宋_GB2312"/>
                <w:b w:val="0"/>
                <w:sz w:val="18"/>
                <w:lang w:val="en-US" w:eastAsia="zh-CN"/>
              </w:rPr>
              <w:t>1</w:t>
            </w:r>
            <w:r>
              <w:rPr>
                <w:rFonts w:hint="eastAsia" w:ascii="仿宋_GB2312" w:hAnsi="仿宋_GB2312" w:eastAsia="仿宋_GB2312"/>
                <w:b w:val="0"/>
                <w:sz w:val="18"/>
                <w:lang w:val="en-US" w:eastAsia="zh-CN"/>
              </w:rPr>
              <w:t>项</w:t>
            </w:r>
            <w:r>
              <w:rPr>
                <w:rFonts w:hint="eastAsia" w:ascii="仿宋_GB2312" w:hAnsi="仿宋_GB2312" w:eastAsia="仿宋_GB2312"/>
                <w:b w:val="0"/>
                <w:sz w:val="18"/>
                <w:lang w:val="en-US" w:eastAsia="zh"/>
              </w:rPr>
              <w:t>3</w:t>
            </w:r>
            <w:r>
              <w:rPr>
                <w:rFonts w:hint="eastAsia" w:ascii="仿宋_GB2312" w:hAnsi="仿宋_GB2312" w:eastAsia="仿宋_GB2312"/>
                <w:b w:val="0"/>
                <w:sz w:val="18"/>
                <w:lang w:val="en-US" w:eastAsia="zh-CN"/>
              </w:rPr>
              <w:t>分，满足</w:t>
            </w:r>
            <w:r>
              <w:rPr>
                <w:rFonts w:hint="default" w:ascii="仿宋_GB2312" w:hAnsi="仿宋_GB2312" w:eastAsia="仿宋_GB2312"/>
                <w:b w:val="0"/>
                <w:sz w:val="18"/>
                <w:lang w:val="en-US" w:eastAsia="zh-CN"/>
              </w:rPr>
              <w:t>2</w:t>
            </w:r>
            <w:r>
              <w:rPr>
                <w:rFonts w:hint="eastAsia" w:ascii="仿宋_GB2312" w:hAnsi="仿宋_GB2312" w:eastAsia="仿宋_GB2312"/>
                <w:b w:val="0"/>
                <w:sz w:val="18"/>
                <w:lang w:val="en-US" w:eastAsia="zh-CN"/>
              </w:rPr>
              <w:t>项以上</w:t>
            </w:r>
            <w:r>
              <w:rPr>
                <w:rFonts w:hint="default" w:ascii="仿宋_GB2312" w:hAnsi="仿宋_GB2312" w:eastAsia="仿宋_GB2312"/>
                <w:b w:val="0"/>
                <w:sz w:val="18"/>
                <w:lang w:val="en-US" w:eastAsia="zh-CN"/>
              </w:rPr>
              <w:t>10</w:t>
            </w:r>
            <w:r>
              <w:rPr>
                <w:rFonts w:hint="eastAsia" w:ascii="仿宋_GB2312" w:hAnsi="仿宋_GB2312" w:eastAsia="仿宋_GB2312"/>
                <w:b w:val="0"/>
                <w:sz w:val="18"/>
                <w:lang w:val="en-US" w:eastAsia="zh-CN"/>
              </w:rPr>
              <w:t>分</w:t>
            </w:r>
          </w:p>
        </w:tc>
      </w:tr>
      <w:tr w14:paraId="1A0A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B328176">
            <w:pPr>
              <w:spacing w:after="0" w:line="240" w:lineRule="auto"/>
              <w:jc w:val="center"/>
            </w:pPr>
            <w:r>
              <w:rPr>
                <w:rFonts w:ascii="仿宋_GB2312" w:hAnsi="仿宋_GB2312" w:eastAsia="仿宋_GB2312"/>
                <w:b w:val="0"/>
                <w:sz w:val="18"/>
              </w:rPr>
              <w:t>30</w:t>
            </w:r>
          </w:p>
        </w:tc>
        <w:tc>
          <w:tcPr>
            <w:tcW w:w="10340" w:type="dxa"/>
            <w:vAlign w:val="center"/>
          </w:tcPr>
          <w:p w14:paraId="4BE9AE04">
            <w:pPr>
              <w:spacing w:after="0" w:line="240" w:lineRule="auto"/>
              <w:rPr>
                <w:rFonts w:hint="eastAsia" w:eastAsia="仿宋_GB2312"/>
                <w:lang w:eastAsia="zh-CN"/>
              </w:rPr>
            </w:pPr>
            <w:r>
              <w:rPr>
                <w:rFonts w:ascii="仿宋_GB2312" w:hAnsi="仿宋_GB2312" w:eastAsia="仿宋_GB2312"/>
                <w:b w:val="0"/>
                <w:sz w:val="18"/>
              </w:rPr>
              <w:t>直线式坡道单车道净宽度≥4.00m，双车道净宽度≥7.00m；曲线式坡道单车道净宽度≥5.00m，双车道净宽度≥7.50m</w:t>
            </w:r>
            <w:r>
              <w:rPr>
                <w:rFonts w:hint="eastAsia" w:ascii="仿宋_GB2312" w:hAnsi="仿宋_GB2312" w:eastAsia="仿宋_GB2312"/>
                <w:b w:val="0"/>
                <w:sz w:val="18"/>
                <w:lang w:eastAsia="zh-CN"/>
              </w:rPr>
              <w:t>。</w:t>
            </w:r>
          </w:p>
        </w:tc>
        <w:tc>
          <w:tcPr>
            <w:tcW w:w="1619" w:type="dxa"/>
            <w:vAlign w:val="center"/>
          </w:tcPr>
          <w:p w14:paraId="62F11B5C">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015F7705">
            <w:pPr>
              <w:spacing w:after="0" w:line="240" w:lineRule="auto"/>
            </w:pPr>
          </w:p>
        </w:tc>
      </w:tr>
      <w:tr w14:paraId="3C8BD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37A52CB">
            <w:pPr>
              <w:spacing w:after="0" w:line="240" w:lineRule="auto"/>
              <w:jc w:val="center"/>
            </w:pPr>
            <w:r>
              <w:rPr>
                <w:rFonts w:ascii="仿宋_GB2312" w:hAnsi="仿宋_GB2312" w:eastAsia="仿宋_GB2312"/>
                <w:b w:val="0"/>
                <w:sz w:val="18"/>
              </w:rPr>
              <w:t>31</w:t>
            </w:r>
          </w:p>
        </w:tc>
        <w:tc>
          <w:tcPr>
            <w:tcW w:w="10340" w:type="dxa"/>
            <w:vAlign w:val="center"/>
          </w:tcPr>
          <w:p w14:paraId="05E82A72">
            <w:pPr>
              <w:spacing w:after="0" w:line="240" w:lineRule="auto"/>
              <w:rPr>
                <w:rFonts w:hint="eastAsia" w:eastAsia="仿宋_GB2312"/>
                <w:lang w:eastAsia="zh-CN"/>
              </w:rPr>
            </w:pPr>
            <w:r>
              <w:rPr>
                <w:rFonts w:ascii="仿宋_GB2312" w:hAnsi="仿宋_GB2312" w:eastAsia="仿宋_GB2312"/>
                <w:b w:val="0"/>
                <w:sz w:val="18"/>
              </w:rPr>
              <w:t>地下汽车库的坡道地上出口与室外道路垂直相接时，从坡道起坡点到道路边线应设≥7.50m的缓冲空间，且应有良好的通视条件</w:t>
            </w:r>
            <w:r>
              <w:rPr>
                <w:rFonts w:hint="eastAsia" w:ascii="仿宋_GB2312" w:hAnsi="仿宋_GB2312" w:eastAsia="仿宋_GB2312"/>
                <w:b w:val="0"/>
                <w:sz w:val="18"/>
                <w:lang w:eastAsia="zh-CN"/>
              </w:rPr>
              <w:t>。</w:t>
            </w:r>
          </w:p>
        </w:tc>
        <w:tc>
          <w:tcPr>
            <w:tcW w:w="1619" w:type="dxa"/>
            <w:vAlign w:val="center"/>
          </w:tcPr>
          <w:p w14:paraId="434A92F8">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53B9293D">
            <w:pPr>
              <w:spacing w:after="0" w:line="240" w:lineRule="auto"/>
            </w:pPr>
          </w:p>
        </w:tc>
      </w:tr>
      <w:tr w14:paraId="5589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A305096">
            <w:pPr>
              <w:spacing w:after="0" w:line="240" w:lineRule="auto"/>
              <w:jc w:val="center"/>
            </w:pPr>
            <w:r>
              <w:rPr>
                <w:rFonts w:ascii="仿宋_GB2312" w:hAnsi="仿宋_GB2312" w:eastAsia="仿宋_GB2312"/>
                <w:b w:val="0"/>
                <w:sz w:val="18"/>
              </w:rPr>
              <w:t>32</w:t>
            </w:r>
          </w:p>
        </w:tc>
        <w:tc>
          <w:tcPr>
            <w:tcW w:w="10340" w:type="dxa"/>
            <w:vAlign w:val="center"/>
          </w:tcPr>
          <w:p w14:paraId="13C58F83">
            <w:pPr>
              <w:spacing w:after="0" w:line="240" w:lineRule="auto"/>
              <w:rPr>
                <w:rFonts w:hint="eastAsia" w:eastAsia="仿宋_GB2312"/>
                <w:lang w:eastAsia="zh-CN"/>
              </w:rPr>
            </w:pPr>
            <w:r>
              <w:rPr>
                <w:rFonts w:ascii="仿宋_GB2312" w:hAnsi="仿宋_GB2312" w:eastAsia="仿宋_GB2312"/>
                <w:b w:val="0"/>
                <w:sz w:val="18"/>
              </w:rPr>
              <w:t>居住区应至少采用一种直饮水供水方式</w:t>
            </w:r>
            <w:r>
              <w:rPr>
                <w:rFonts w:hint="eastAsia" w:ascii="仿宋_GB2312" w:hAnsi="仿宋_GB2312" w:eastAsia="仿宋_GB2312"/>
                <w:b w:val="0"/>
                <w:sz w:val="18"/>
                <w:lang w:eastAsia="zh-CN"/>
              </w:rPr>
              <w:t>。</w:t>
            </w:r>
          </w:p>
        </w:tc>
        <w:tc>
          <w:tcPr>
            <w:tcW w:w="1619" w:type="dxa"/>
            <w:vAlign w:val="center"/>
          </w:tcPr>
          <w:p w14:paraId="6601C11A">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59BB615B">
            <w:pPr>
              <w:spacing w:after="0" w:line="240" w:lineRule="auto"/>
              <w:rPr>
                <w:rFonts w:hint="default" w:ascii="仿宋_GB2312" w:hAnsi="仿宋_GB2312" w:eastAsia="仿宋_GB2312"/>
                <w:b w:val="0"/>
                <w:sz w:val="18"/>
              </w:rPr>
            </w:pPr>
            <w:r>
              <w:rPr>
                <w:rFonts w:hint="eastAsia" w:ascii="仿宋_GB2312" w:hAnsi="仿宋_GB2312" w:eastAsia="仿宋_GB2312"/>
                <w:b w:val="0"/>
                <w:sz w:val="18"/>
                <w:lang w:val="en-US" w:eastAsia="zh-CN"/>
              </w:rPr>
              <w:t>满足</w:t>
            </w:r>
            <w:r>
              <w:rPr>
                <w:rFonts w:hint="default" w:ascii="仿宋_GB2312" w:hAnsi="仿宋_GB2312" w:eastAsia="仿宋_GB2312"/>
                <w:b w:val="0"/>
                <w:sz w:val="18"/>
                <w:lang w:val="en-US" w:eastAsia="zh-CN"/>
              </w:rPr>
              <w:t>3</w:t>
            </w:r>
            <w:r>
              <w:rPr>
                <w:rFonts w:hint="eastAsia" w:ascii="仿宋_GB2312" w:hAnsi="仿宋_GB2312" w:eastAsia="仿宋_GB2312"/>
                <w:b w:val="0"/>
                <w:sz w:val="18"/>
                <w:lang w:val="en-US" w:eastAsia="zh-CN"/>
              </w:rPr>
              <w:t>项</w:t>
            </w:r>
            <w:r>
              <w:rPr>
                <w:rFonts w:hint="default" w:ascii="仿宋_GB2312" w:hAnsi="仿宋_GB2312" w:eastAsia="仿宋_GB2312"/>
                <w:b w:val="0"/>
                <w:sz w:val="18"/>
                <w:lang w:val="en-US" w:eastAsia="zh-CN"/>
              </w:rPr>
              <w:t>10</w:t>
            </w:r>
            <w:r>
              <w:rPr>
                <w:rFonts w:hint="eastAsia" w:ascii="仿宋_GB2312" w:hAnsi="仿宋_GB2312" w:eastAsia="仿宋_GB2312"/>
                <w:b w:val="0"/>
                <w:sz w:val="18"/>
                <w:lang w:val="en-US" w:eastAsia="zh-CN"/>
              </w:rPr>
              <w:t>分，满足</w:t>
            </w:r>
            <w:r>
              <w:rPr>
                <w:rFonts w:hint="default" w:ascii="仿宋_GB2312" w:hAnsi="仿宋_GB2312" w:eastAsia="仿宋_GB2312"/>
                <w:b w:val="0"/>
                <w:sz w:val="18"/>
                <w:lang w:val="en-US" w:eastAsia="zh-CN"/>
              </w:rPr>
              <w:t>6</w:t>
            </w:r>
            <w:r>
              <w:rPr>
                <w:rFonts w:hint="eastAsia" w:ascii="仿宋_GB2312" w:hAnsi="仿宋_GB2312" w:eastAsia="仿宋_GB2312"/>
                <w:b w:val="0"/>
                <w:sz w:val="18"/>
                <w:lang w:val="en-US" w:eastAsia="zh-CN"/>
              </w:rPr>
              <w:t>项以上</w:t>
            </w:r>
            <w:r>
              <w:rPr>
                <w:rFonts w:hint="default" w:ascii="仿宋_GB2312" w:hAnsi="仿宋_GB2312" w:eastAsia="仿宋_GB2312"/>
                <w:b w:val="0"/>
                <w:sz w:val="18"/>
                <w:lang w:val="en-US" w:eastAsia="zh-CN"/>
              </w:rPr>
              <w:t>20</w:t>
            </w:r>
            <w:r>
              <w:rPr>
                <w:rFonts w:hint="eastAsia" w:ascii="仿宋_GB2312" w:hAnsi="仿宋_GB2312" w:eastAsia="仿宋_GB2312"/>
                <w:b w:val="0"/>
                <w:sz w:val="18"/>
                <w:lang w:val="en-US" w:eastAsia="zh-CN"/>
              </w:rPr>
              <w:t>分，满足</w:t>
            </w:r>
            <w:r>
              <w:rPr>
                <w:rFonts w:hint="eastAsia" w:ascii="仿宋_GB2312" w:hAnsi="仿宋_GB2312" w:eastAsia="仿宋_GB2312"/>
                <w:b w:val="0"/>
                <w:sz w:val="18"/>
                <w:lang w:val="en-US" w:eastAsia="zh"/>
              </w:rPr>
              <w:t>9</w:t>
            </w:r>
            <w:r>
              <w:rPr>
                <w:rFonts w:hint="eastAsia" w:ascii="仿宋_GB2312" w:hAnsi="仿宋_GB2312" w:eastAsia="仿宋_GB2312"/>
                <w:b w:val="0"/>
                <w:sz w:val="18"/>
                <w:lang w:val="en-US" w:eastAsia="zh-CN"/>
              </w:rPr>
              <w:t>项以上</w:t>
            </w:r>
            <w:r>
              <w:rPr>
                <w:rFonts w:hint="eastAsia" w:ascii="仿宋_GB2312" w:hAnsi="仿宋_GB2312" w:eastAsia="仿宋_GB2312"/>
                <w:b w:val="0"/>
                <w:sz w:val="18"/>
                <w:lang w:val="en-US" w:eastAsia="zh"/>
              </w:rPr>
              <w:t>30</w:t>
            </w:r>
            <w:r>
              <w:rPr>
                <w:rFonts w:hint="eastAsia" w:ascii="仿宋_GB2312" w:hAnsi="仿宋_GB2312" w:eastAsia="仿宋_GB2312"/>
                <w:b w:val="0"/>
                <w:sz w:val="18"/>
                <w:lang w:val="en-US" w:eastAsia="zh-CN"/>
              </w:rPr>
              <w:t>分，满足</w:t>
            </w:r>
            <w:r>
              <w:rPr>
                <w:rFonts w:hint="default" w:ascii="仿宋_GB2312" w:hAnsi="仿宋_GB2312" w:eastAsia="仿宋_GB2312"/>
                <w:b w:val="0"/>
                <w:sz w:val="18"/>
                <w:lang w:val="en-US" w:eastAsia="zh-CN"/>
              </w:rPr>
              <w:t>12</w:t>
            </w:r>
            <w:r>
              <w:rPr>
                <w:rFonts w:hint="eastAsia" w:ascii="仿宋_GB2312" w:hAnsi="仿宋_GB2312" w:eastAsia="仿宋_GB2312"/>
                <w:b w:val="0"/>
                <w:sz w:val="18"/>
                <w:lang w:val="en-US" w:eastAsia="zh-CN"/>
              </w:rPr>
              <w:t>项以上</w:t>
            </w:r>
            <w:r>
              <w:rPr>
                <w:rFonts w:hint="default" w:ascii="仿宋_GB2312" w:hAnsi="仿宋_GB2312" w:eastAsia="仿宋_GB2312"/>
                <w:b w:val="0"/>
                <w:sz w:val="18"/>
                <w:lang w:val="en-US" w:eastAsia="zh-CN"/>
              </w:rPr>
              <w:t>4</w:t>
            </w:r>
            <w:r>
              <w:rPr>
                <w:rFonts w:hint="eastAsia" w:ascii="仿宋_GB2312" w:hAnsi="仿宋_GB2312" w:eastAsia="仿宋_GB2312"/>
                <w:b w:val="0"/>
                <w:sz w:val="18"/>
                <w:lang w:val="en-US" w:eastAsia="zh"/>
              </w:rPr>
              <w:t>5</w:t>
            </w:r>
            <w:r>
              <w:rPr>
                <w:rFonts w:hint="eastAsia" w:ascii="仿宋_GB2312" w:hAnsi="仿宋_GB2312" w:eastAsia="仿宋_GB2312"/>
                <w:b w:val="0"/>
                <w:sz w:val="18"/>
                <w:lang w:val="en-US" w:eastAsia="zh-CN"/>
              </w:rPr>
              <w:t>分</w:t>
            </w:r>
          </w:p>
          <w:p w14:paraId="2614BE5F">
            <w:pPr>
              <w:spacing w:after="0" w:line="240" w:lineRule="auto"/>
              <w:jc w:val="center"/>
            </w:pPr>
          </w:p>
        </w:tc>
      </w:tr>
      <w:tr w14:paraId="4B9E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A7AFA53">
            <w:pPr>
              <w:spacing w:after="0" w:line="240" w:lineRule="auto"/>
              <w:jc w:val="center"/>
            </w:pPr>
            <w:r>
              <w:rPr>
                <w:rFonts w:ascii="仿宋_GB2312" w:hAnsi="仿宋_GB2312" w:eastAsia="仿宋_GB2312"/>
                <w:b w:val="0"/>
                <w:sz w:val="18"/>
              </w:rPr>
              <w:t>33</w:t>
            </w:r>
          </w:p>
        </w:tc>
        <w:tc>
          <w:tcPr>
            <w:tcW w:w="10340" w:type="dxa"/>
            <w:vAlign w:val="center"/>
          </w:tcPr>
          <w:p w14:paraId="48DAD170">
            <w:pPr>
              <w:spacing w:after="0" w:line="240" w:lineRule="auto"/>
              <w:rPr>
                <w:rFonts w:hint="eastAsia" w:eastAsia="仿宋_GB2312"/>
                <w:lang w:eastAsia="zh-CN"/>
              </w:rPr>
            </w:pPr>
            <w:r>
              <w:rPr>
                <w:rFonts w:ascii="仿宋_GB2312" w:hAnsi="仿宋_GB2312" w:eastAsia="仿宋_GB2312"/>
                <w:b w:val="0"/>
                <w:sz w:val="18"/>
              </w:rPr>
              <w:t>生活热水系统应采用冷热水同源的方式</w:t>
            </w:r>
            <w:r>
              <w:rPr>
                <w:rFonts w:hint="eastAsia" w:ascii="仿宋_GB2312" w:hAnsi="仿宋_GB2312" w:eastAsia="仿宋_GB2312"/>
                <w:b w:val="0"/>
                <w:sz w:val="18"/>
                <w:lang w:eastAsia="zh-CN"/>
              </w:rPr>
              <w:t>。</w:t>
            </w:r>
          </w:p>
        </w:tc>
        <w:tc>
          <w:tcPr>
            <w:tcW w:w="1619" w:type="dxa"/>
            <w:vAlign w:val="center"/>
          </w:tcPr>
          <w:p w14:paraId="2E56FFB5">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79B04B64">
            <w:pPr>
              <w:spacing w:after="0" w:line="240" w:lineRule="auto"/>
            </w:pPr>
          </w:p>
        </w:tc>
      </w:tr>
      <w:tr w14:paraId="584CF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145B153">
            <w:pPr>
              <w:spacing w:after="0" w:line="240" w:lineRule="auto"/>
              <w:jc w:val="center"/>
            </w:pPr>
            <w:r>
              <w:rPr>
                <w:rFonts w:ascii="仿宋_GB2312" w:hAnsi="仿宋_GB2312" w:eastAsia="仿宋_GB2312"/>
                <w:b w:val="0"/>
                <w:sz w:val="18"/>
              </w:rPr>
              <w:t>34</w:t>
            </w:r>
          </w:p>
        </w:tc>
        <w:tc>
          <w:tcPr>
            <w:tcW w:w="10340" w:type="dxa"/>
            <w:vAlign w:val="center"/>
          </w:tcPr>
          <w:p w14:paraId="49BBBF8A">
            <w:pPr>
              <w:spacing w:after="0" w:line="240" w:lineRule="auto"/>
              <w:rPr>
                <w:rFonts w:hint="eastAsia" w:eastAsia="仿宋_GB2312"/>
                <w:lang w:eastAsia="zh-CN"/>
              </w:rPr>
            </w:pPr>
            <w:r>
              <w:rPr>
                <w:rFonts w:ascii="仿宋_GB2312" w:hAnsi="仿宋_GB2312" w:eastAsia="仿宋_GB2312"/>
                <w:b w:val="0"/>
                <w:sz w:val="18"/>
              </w:rPr>
              <w:t>套内热水供水管长度大于15m时，应设置保证热水配水点出水温度的措施</w:t>
            </w:r>
            <w:r>
              <w:rPr>
                <w:rFonts w:hint="eastAsia" w:ascii="仿宋_GB2312" w:hAnsi="仿宋_GB2312" w:eastAsia="仿宋_GB2312"/>
                <w:b w:val="0"/>
                <w:sz w:val="18"/>
                <w:lang w:eastAsia="zh-CN"/>
              </w:rPr>
              <w:t>。</w:t>
            </w:r>
          </w:p>
        </w:tc>
        <w:tc>
          <w:tcPr>
            <w:tcW w:w="1619" w:type="dxa"/>
            <w:vAlign w:val="center"/>
          </w:tcPr>
          <w:p w14:paraId="20B90F54">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4C14B63F">
            <w:pPr>
              <w:spacing w:after="0" w:line="240" w:lineRule="auto"/>
            </w:pPr>
          </w:p>
        </w:tc>
      </w:tr>
      <w:tr w14:paraId="6F09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03982E5">
            <w:pPr>
              <w:spacing w:after="0" w:line="240" w:lineRule="auto"/>
              <w:jc w:val="center"/>
            </w:pPr>
            <w:r>
              <w:rPr>
                <w:rFonts w:ascii="仿宋_GB2312" w:hAnsi="仿宋_GB2312" w:eastAsia="仿宋_GB2312"/>
                <w:b w:val="0"/>
                <w:sz w:val="18"/>
              </w:rPr>
              <w:t>35</w:t>
            </w:r>
          </w:p>
        </w:tc>
        <w:tc>
          <w:tcPr>
            <w:tcW w:w="10340" w:type="dxa"/>
            <w:vAlign w:val="center"/>
          </w:tcPr>
          <w:p w14:paraId="26C76938">
            <w:pPr>
              <w:spacing w:after="0" w:line="240" w:lineRule="auto"/>
              <w:rPr>
                <w:rFonts w:hint="eastAsia" w:eastAsia="仿宋_GB2312"/>
                <w:lang w:eastAsia="zh-CN"/>
              </w:rPr>
            </w:pPr>
            <w:r>
              <w:rPr>
                <w:rFonts w:ascii="仿宋_GB2312" w:hAnsi="仿宋_GB2312" w:eastAsia="仿宋_GB2312"/>
                <w:b w:val="0"/>
                <w:sz w:val="18"/>
              </w:rPr>
              <w:t>热水供回水立管可在套内设置，热水表设置在套内时，应采用远传水表</w:t>
            </w:r>
            <w:r>
              <w:rPr>
                <w:rFonts w:hint="eastAsia" w:ascii="仿宋_GB2312" w:hAnsi="仿宋_GB2312" w:eastAsia="仿宋_GB2312"/>
                <w:b w:val="0"/>
                <w:sz w:val="18"/>
                <w:lang w:eastAsia="zh-CN"/>
              </w:rPr>
              <w:t>。</w:t>
            </w:r>
          </w:p>
        </w:tc>
        <w:tc>
          <w:tcPr>
            <w:tcW w:w="1619" w:type="dxa"/>
            <w:vAlign w:val="center"/>
          </w:tcPr>
          <w:p w14:paraId="0131FA60">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3029E476">
            <w:pPr>
              <w:spacing w:after="0" w:line="240" w:lineRule="auto"/>
            </w:pPr>
          </w:p>
        </w:tc>
      </w:tr>
      <w:tr w14:paraId="2EDB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8AF8A47">
            <w:pPr>
              <w:spacing w:after="0" w:line="240" w:lineRule="auto"/>
              <w:jc w:val="center"/>
            </w:pPr>
            <w:r>
              <w:rPr>
                <w:rFonts w:ascii="仿宋_GB2312" w:hAnsi="仿宋_GB2312" w:eastAsia="仿宋_GB2312"/>
                <w:b w:val="0"/>
                <w:sz w:val="18"/>
              </w:rPr>
              <w:t>36</w:t>
            </w:r>
          </w:p>
        </w:tc>
        <w:tc>
          <w:tcPr>
            <w:tcW w:w="10340" w:type="dxa"/>
            <w:vAlign w:val="center"/>
          </w:tcPr>
          <w:p w14:paraId="7BA21284">
            <w:pPr>
              <w:spacing w:after="0" w:line="240" w:lineRule="auto"/>
              <w:rPr>
                <w:rFonts w:hint="eastAsia" w:eastAsia="仿宋_GB2312"/>
                <w:lang w:eastAsia="zh-CN"/>
              </w:rPr>
            </w:pPr>
            <w:r>
              <w:rPr>
                <w:rFonts w:ascii="仿宋_GB2312" w:hAnsi="仿宋_GB2312" w:eastAsia="仿宋_GB2312"/>
                <w:b w:val="0"/>
                <w:sz w:val="18"/>
              </w:rPr>
              <w:t>套内太阳能储热水箱应设置在卫生间、厨房、洗衣间等位置</w:t>
            </w:r>
            <w:r>
              <w:rPr>
                <w:rFonts w:hint="eastAsia" w:ascii="仿宋_GB2312" w:hAnsi="仿宋_GB2312" w:eastAsia="仿宋_GB2312"/>
                <w:b w:val="0"/>
                <w:sz w:val="18"/>
                <w:lang w:eastAsia="zh-CN"/>
              </w:rPr>
              <w:t>。</w:t>
            </w:r>
          </w:p>
        </w:tc>
        <w:tc>
          <w:tcPr>
            <w:tcW w:w="1619" w:type="dxa"/>
            <w:vAlign w:val="center"/>
          </w:tcPr>
          <w:p w14:paraId="0FCE39D2">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2CC9747B">
            <w:pPr>
              <w:spacing w:after="0" w:line="240" w:lineRule="auto"/>
            </w:pPr>
          </w:p>
        </w:tc>
      </w:tr>
      <w:tr w14:paraId="7BD7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19F30CE">
            <w:pPr>
              <w:spacing w:after="0" w:line="240" w:lineRule="auto"/>
              <w:jc w:val="center"/>
            </w:pPr>
            <w:r>
              <w:rPr>
                <w:rFonts w:ascii="仿宋_GB2312" w:hAnsi="仿宋_GB2312" w:eastAsia="仿宋_GB2312"/>
                <w:b w:val="0"/>
                <w:sz w:val="18"/>
              </w:rPr>
              <w:t>37</w:t>
            </w:r>
          </w:p>
        </w:tc>
        <w:tc>
          <w:tcPr>
            <w:tcW w:w="10340" w:type="dxa"/>
            <w:vAlign w:val="center"/>
          </w:tcPr>
          <w:p w14:paraId="57F5ED59">
            <w:pPr>
              <w:spacing w:after="0" w:line="240" w:lineRule="auto"/>
              <w:rPr>
                <w:rFonts w:hint="eastAsia" w:eastAsia="仿宋_GB2312"/>
                <w:lang w:eastAsia="zh-CN"/>
              </w:rPr>
            </w:pPr>
            <w:r>
              <w:rPr>
                <w:rFonts w:ascii="仿宋_GB2312" w:hAnsi="仿宋_GB2312" w:eastAsia="仿宋_GB2312"/>
                <w:b w:val="0"/>
                <w:sz w:val="18"/>
              </w:rPr>
              <w:t>居住区加压供水分区应分别设置二次供水设备，不采用减压阀分区</w:t>
            </w:r>
            <w:r>
              <w:rPr>
                <w:rFonts w:hint="eastAsia" w:ascii="仿宋_GB2312" w:hAnsi="仿宋_GB2312" w:eastAsia="仿宋_GB2312"/>
                <w:b w:val="0"/>
                <w:sz w:val="18"/>
                <w:lang w:eastAsia="zh-CN"/>
              </w:rPr>
              <w:t>。</w:t>
            </w:r>
          </w:p>
        </w:tc>
        <w:tc>
          <w:tcPr>
            <w:tcW w:w="1619" w:type="dxa"/>
            <w:vAlign w:val="center"/>
          </w:tcPr>
          <w:p w14:paraId="2D09953F">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76D7F1DE">
            <w:pPr>
              <w:spacing w:after="0" w:line="240" w:lineRule="auto"/>
            </w:pPr>
          </w:p>
        </w:tc>
      </w:tr>
      <w:tr w14:paraId="4827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0772818">
            <w:pPr>
              <w:spacing w:after="0" w:line="240" w:lineRule="auto"/>
              <w:jc w:val="center"/>
            </w:pPr>
            <w:r>
              <w:rPr>
                <w:rFonts w:ascii="仿宋_GB2312" w:hAnsi="仿宋_GB2312" w:eastAsia="仿宋_GB2312"/>
                <w:b w:val="0"/>
                <w:sz w:val="18"/>
              </w:rPr>
              <w:t>38</w:t>
            </w:r>
          </w:p>
        </w:tc>
        <w:tc>
          <w:tcPr>
            <w:tcW w:w="10340" w:type="dxa"/>
            <w:vAlign w:val="center"/>
          </w:tcPr>
          <w:p w14:paraId="6365928F">
            <w:pPr>
              <w:spacing w:after="0" w:line="240" w:lineRule="auto"/>
              <w:rPr>
                <w:rFonts w:hint="eastAsia" w:eastAsia="仿宋_GB2312"/>
                <w:lang w:eastAsia="zh-CN"/>
              </w:rPr>
            </w:pPr>
            <w:r>
              <w:rPr>
                <w:rFonts w:ascii="仿宋_GB2312" w:hAnsi="仿宋_GB2312" w:eastAsia="仿宋_GB2312"/>
                <w:b w:val="0"/>
                <w:sz w:val="18"/>
              </w:rPr>
              <w:t>套内卫生间采用微降板的同层排水的形式</w:t>
            </w:r>
            <w:r>
              <w:rPr>
                <w:rFonts w:hint="eastAsia" w:ascii="仿宋_GB2312" w:hAnsi="仿宋_GB2312" w:eastAsia="仿宋_GB2312"/>
                <w:b w:val="0"/>
                <w:sz w:val="18"/>
                <w:lang w:eastAsia="zh-CN"/>
              </w:rPr>
              <w:t>。</w:t>
            </w:r>
          </w:p>
        </w:tc>
        <w:tc>
          <w:tcPr>
            <w:tcW w:w="1619" w:type="dxa"/>
            <w:vAlign w:val="center"/>
          </w:tcPr>
          <w:p w14:paraId="69C7B405">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57D5B66C">
            <w:pPr>
              <w:spacing w:after="0" w:line="240" w:lineRule="auto"/>
            </w:pPr>
          </w:p>
        </w:tc>
      </w:tr>
      <w:tr w14:paraId="1159C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48BD36E">
            <w:pPr>
              <w:spacing w:after="0" w:line="240" w:lineRule="auto"/>
              <w:jc w:val="center"/>
            </w:pPr>
            <w:r>
              <w:rPr>
                <w:rFonts w:ascii="仿宋_GB2312" w:hAnsi="仿宋_GB2312" w:eastAsia="仿宋_GB2312"/>
                <w:b w:val="0"/>
                <w:sz w:val="18"/>
              </w:rPr>
              <w:t>39</w:t>
            </w:r>
          </w:p>
        </w:tc>
        <w:tc>
          <w:tcPr>
            <w:tcW w:w="10340" w:type="dxa"/>
            <w:vAlign w:val="center"/>
          </w:tcPr>
          <w:p w14:paraId="54499EAF">
            <w:pPr>
              <w:spacing w:after="0" w:line="240" w:lineRule="auto"/>
              <w:rPr>
                <w:rFonts w:hint="eastAsia" w:eastAsia="仿宋_GB2312"/>
                <w:lang w:eastAsia="zh-CN"/>
              </w:rPr>
            </w:pPr>
            <w:r>
              <w:rPr>
                <w:rFonts w:ascii="仿宋_GB2312" w:hAnsi="仿宋_GB2312" w:eastAsia="仿宋_GB2312"/>
                <w:b w:val="0"/>
                <w:sz w:val="18"/>
              </w:rPr>
              <w:t>套内预留供智能清扫机器使用的给水点及排水点</w:t>
            </w:r>
            <w:r>
              <w:rPr>
                <w:rFonts w:hint="eastAsia" w:ascii="仿宋_GB2312" w:hAnsi="仿宋_GB2312" w:eastAsia="仿宋_GB2312"/>
                <w:b w:val="0"/>
                <w:sz w:val="18"/>
                <w:lang w:eastAsia="zh-CN"/>
              </w:rPr>
              <w:t>。</w:t>
            </w:r>
          </w:p>
        </w:tc>
        <w:tc>
          <w:tcPr>
            <w:tcW w:w="1619" w:type="dxa"/>
            <w:vAlign w:val="center"/>
          </w:tcPr>
          <w:p w14:paraId="6B2E5589">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62FF6A9">
            <w:pPr>
              <w:spacing w:after="0" w:line="240" w:lineRule="auto"/>
            </w:pPr>
          </w:p>
        </w:tc>
      </w:tr>
      <w:tr w14:paraId="2A7F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29AAB66">
            <w:pPr>
              <w:spacing w:after="0" w:line="240" w:lineRule="auto"/>
              <w:jc w:val="center"/>
            </w:pPr>
            <w:r>
              <w:rPr>
                <w:rFonts w:ascii="仿宋_GB2312" w:hAnsi="仿宋_GB2312" w:eastAsia="仿宋_GB2312"/>
                <w:b w:val="0"/>
                <w:sz w:val="18"/>
              </w:rPr>
              <w:t>40</w:t>
            </w:r>
          </w:p>
        </w:tc>
        <w:tc>
          <w:tcPr>
            <w:tcW w:w="10340" w:type="dxa"/>
            <w:vAlign w:val="center"/>
          </w:tcPr>
          <w:p w14:paraId="1C5E45D5">
            <w:pPr>
              <w:spacing w:after="0" w:line="240" w:lineRule="auto"/>
              <w:rPr>
                <w:rFonts w:hint="eastAsia" w:eastAsia="仿宋_GB2312"/>
                <w:lang w:eastAsia="zh-CN"/>
              </w:rPr>
            </w:pPr>
            <w:r>
              <w:rPr>
                <w:rFonts w:ascii="仿宋_GB2312" w:hAnsi="仿宋_GB2312" w:eastAsia="仿宋_GB2312"/>
                <w:b w:val="0"/>
                <w:sz w:val="18"/>
              </w:rPr>
              <w:t>在套内卫生间或洗衣机等处布置一个DN15消防软管或轻便水龙接口</w:t>
            </w:r>
            <w:r>
              <w:rPr>
                <w:rFonts w:hint="eastAsia" w:ascii="仿宋_GB2312" w:hAnsi="仿宋_GB2312" w:eastAsia="仿宋_GB2312"/>
                <w:b w:val="0"/>
                <w:sz w:val="18"/>
                <w:lang w:eastAsia="zh-CN"/>
              </w:rPr>
              <w:t>。</w:t>
            </w:r>
          </w:p>
        </w:tc>
        <w:tc>
          <w:tcPr>
            <w:tcW w:w="1619" w:type="dxa"/>
            <w:vAlign w:val="center"/>
          </w:tcPr>
          <w:p w14:paraId="76B5F42D">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0A26A1FD">
            <w:pPr>
              <w:spacing w:after="0" w:line="240" w:lineRule="auto"/>
            </w:pPr>
          </w:p>
        </w:tc>
      </w:tr>
      <w:tr w14:paraId="216AF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C87F23E">
            <w:pPr>
              <w:spacing w:after="0" w:line="240" w:lineRule="auto"/>
              <w:jc w:val="center"/>
            </w:pPr>
            <w:r>
              <w:rPr>
                <w:rFonts w:ascii="仿宋_GB2312" w:hAnsi="仿宋_GB2312" w:eastAsia="仿宋_GB2312"/>
                <w:b w:val="0"/>
                <w:sz w:val="18"/>
              </w:rPr>
              <w:t>41</w:t>
            </w:r>
          </w:p>
        </w:tc>
        <w:tc>
          <w:tcPr>
            <w:tcW w:w="10340" w:type="dxa"/>
            <w:vAlign w:val="center"/>
          </w:tcPr>
          <w:p w14:paraId="75C96037">
            <w:pPr>
              <w:spacing w:after="0" w:line="240" w:lineRule="auto"/>
              <w:rPr>
                <w:rFonts w:hint="eastAsia" w:eastAsia="仿宋_GB2312"/>
                <w:lang w:eastAsia="zh-CN"/>
              </w:rPr>
            </w:pPr>
            <w:r>
              <w:rPr>
                <w:rFonts w:ascii="仿宋_GB2312" w:hAnsi="仿宋_GB2312" w:eastAsia="仿宋_GB2312"/>
                <w:b w:val="0"/>
                <w:sz w:val="18"/>
              </w:rPr>
              <w:t>在车库内设置冲洗水点及排水措施</w:t>
            </w:r>
            <w:r>
              <w:rPr>
                <w:rFonts w:hint="eastAsia" w:ascii="仿宋_GB2312" w:hAnsi="仿宋_GB2312" w:eastAsia="仿宋_GB2312"/>
                <w:b w:val="0"/>
                <w:sz w:val="18"/>
                <w:lang w:eastAsia="zh-CN"/>
              </w:rPr>
              <w:t>。</w:t>
            </w:r>
          </w:p>
        </w:tc>
        <w:tc>
          <w:tcPr>
            <w:tcW w:w="1619" w:type="dxa"/>
            <w:vAlign w:val="center"/>
          </w:tcPr>
          <w:p w14:paraId="1C2D69B5">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26571F05">
            <w:pPr>
              <w:spacing w:after="0" w:line="240" w:lineRule="auto"/>
            </w:pPr>
          </w:p>
        </w:tc>
      </w:tr>
      <w:tr w14:paraId="28A64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BD6DE5D">
            <w:pPr>
              <w:spacing w:after="0" w:line="240" w:lineRule="auto"/>
              <w:jc w:val="center"/>
            </w:pPr>
            <w:r>
              <w:rPr>
                <w:rFonts w:ascii="仿宋_GB2312" w:hAnsi="仿宋_GB2312" w:eastAsia="仿宋_GB2312"/>
                <w:b w:val="0"/>
                <w:sz w:val="18"/>
              </w:rPr>
              <w:t>42</w:t>
            </w:r>
          </w:p>
        </w:tc>
        <w:tc>
          <w:tcPr>
            <w:tcW w:w="10340" w:type="dxa"/>
            <w:vAlign w:val="center"/>
          </w:tcPr>
          <w:p w14:paraId="56F95D5B">
            <w:pPr>
              <w:spacing w:after="0" w:line="240" w:lineRule="auto"/>
              <w:rPr>
                <w:rFonts w:hint="eastAsia" w:eastAsia="仿宋_GB2312"/>
                <w:lang w:eastAsia="zh-CN"/>
              </w:rPr>
            </w:pPr>
            <w:r>
              <w:rPr>
                <w:rFonts w:ascii="仿宋_GB2312" w:hAnsi="仿宋_GB2312" w:eastAsia="仿宋_GB2312"/>
                <w:b w:val="0"/>
                <w:sz w:val="18"/>
              </w:rPr>
              <w:t>在居住区中的宠物活动区设置宠物排便的冲洗措施及排水措施</w:t>
            </w:r>
            <w:r>
              <w:rPr>
                <w:rFonts w:hint="eastAsia" w:ascii="仿宋_GB2312" w:hAnsi="仿宋_GB2312" w:eastAsia="仿宋_GB2312"/>
                <w:b w:val="0"/>
                <w:sz w:val="18"/>
                <w:lang w:eastAsia="zh-CN"/>
              </w:rPr>
              <w:t>。</w:t>
            </w:r>
          </w:p>
        </w:tc>
        <w:tc>
          <w:tcPr>
            <w:tcW w:w="1619" w:type="dxa"/>
            <w:vAlign w:val="center"/>
          </w:tcPr>
          <w:p w14:paraId="6ABADC51">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17FA0905">
            <w:pPr>
              <w:spacing w:after="0" w:line="240" w:lineRule="auto"/>
            </w:pPr>
          </w:p>
        </w:tc>
      </w:tr>
      <w:tr w14:paraId="0385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BD39EA9">
            <w:pPr>
              <w:spacing w:after="0" w:line="240" w:lineRule="auto"/>
              <w:jc w:val="center"/>
            </w:pPr>
            <w:r>
              <w:rPr>
                <w:rFonts w:ascii="仿宋_GB2312" w:hAnsi="仿宋_GB2312" w:eastAsia="仿宋_GB2312"/>
                <w:b w:val="0"/>
                <w:sz w:val="18"/>
              </w:rPr>
              <w:t>43</w:t>
            </w:r>
          </w:p>
        </w:tc>
        <w:tc>
          <w:tcPr>
            <w:tcW w:w="10340" w:type="dxa"/>
            <w:vAlign w:val="center"/>
          </w:tcPr>
          <w:p w14:paraId="7D8529FE">
            <w:pPr>
              <w:spacing w:after="0" w:line="240" w:lineRule="auto"/>
              <w:rPr>
                <w:rFonts w:hint="eastAsia" w:eastAsia="仿宋_GB2312"/>
                <w:lang w:eastAsia="zh-CN"/>
              </w:rPr>
            </w:pPr>
            <w:r>
              <w:rPr>
                <w:rFonts w:ascii="仿宋_GB2312" w:hAnsi="仿宋_GB2312" w:eastAsia="仿宋_GB2312"/>
                <w:b w:val="0"/>
                <w:sz w:val="18"/>
              </w:rPr>
              <w:t>垃圾房及垃圾中转站内设置冲洗水龙及排水措施</w:t>
            </w:r>
            <w:r>
              <w:rPr>
                <w:rFonts w:hint="eastAsia" w:ascii="仿宋_GB2312" w:hAnsi="仿宋_GB2312" w:eastAsia="仿宋_GB2312"/>
                <w:b w:val="0"/>
                <w:sz w:val="18"/>
                <w:lang w:eastAsia="zh-CN"/>
              </w:rPr>
              <w:t>。</w:t>
            </w:r>
          </w:p>
        </w:tc>
        <w:tc>
          <w:tcPr>
            <w:tcW w:w="1619" w:type="dxa"/>
            <w:vAlign w:val="center"/>
          </w:tcPr>
          <w:p w14:paraId="377F45AE">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37B7AE30">
            <w:pPr>
              <w:spacing w:after="0" w:line="240" w:lineRule="auto"/>
            </w:pPr>
          </w:p>
        </w:tc>
      </w:tr>
      <w:tr w14:paraId="17E4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C483212">
            <w:pPr>
              <w:spacing w:after="0" w:line="240" w:lineRule="auto"/>
              <w:jc w:val="center"/>
            </w:pPr>
            <w:r>
              <w:rPr>
                <w:rFonts w:ascii="仿宋_GB2312" w:hAnsi="仿宋_GB2312" w:eastAsia="仿宋_GB2312"/>
                <w:b w:val="0"/>
                <w:sz w:val="18"/>
              </w:rPr>
              <w:t>44</w:t>
            </w:r>
          </w:p>
        </w:tc>
        <w:tc>
          <w:tcPr>
            <w:tcW w:w="10340" w:type="dxa"/>
            <w:vAlign w:val="center"/>
          </w:tcPr>
          <w:p w14:paraId="71C3FDB8">
            <w:pPr>
              <w:spacing w:after="0" w:line="240" w:lineRule="auto"/>
              <w:rPr>
                <w:rFonts w:hint="eastAsia" w:eastAsia="仿宋_GB2312"/>
                <w:lang w:eastAsia="zh-CN"/>
              </w:rPr>
            </w:pPr>
            <w:r>
              <w:rPr>
                <w:rFonts w:ascii="仿宋_GB2312" w:hAnsi="仿宋_GB2312" w:eastAsia="仿宋_GB2312"/>
                <w:b w:val="0"/>
                <w:sz w:val="18"/>
              </w:rPr>
              <w:t>卫生器具工作压力宜为0.15～0.20MPa</w:t>
            </w:r>
            <w:r>
              <w:rPr>
                <w:rFonts w:hint="eastAsia" w:ascii="仿宋_GB2312" w:hAnsi="仿宋_GB2312" w:eastAsia="仿宋_GB2312"/>
                <w:b w:val="0"/>
                <w:sz w:val="18"/>
                <w:lang w:eastAsia="zh-CN"/>
              </w:rPr>
              <w:t>。</w:t>
            </w:r>
          </w:p>
        </w:tc>
        <w:tc>
          <w:tcPr>
            <w:tcW w:w="1619" w:type="dxa"/>
            <w:vAlign w:val="center"/>
          </w:tcPr>
          <w:p w14:paraId="3138E801">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EF7867B">
            <w:pPr>
              <w:spacing w:after="0" w:line="240" w:lineRule="auto"/>
            </w:pPr>
          </w:p>
        </w:tc>
      </w:tr>
      <w:tr w14:paraId="2577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49E622B">
            <w:pPr>
              <w:spacing w:after="0" w:line="240" w:lineRule="auto"/>
              <w:jc w:val="center"/>
            </w:pPr>
            <w:r>
              <w:rPr>
                <w:rFonts w:ascii="仿宋_GB2312" w:hAnsi="仿宋_GB2312" w:eastAsia="仿宋_GB2312"/>
                <w:b w:val="0"/>
                <w:sz w:val="18"/>
              </w:rPr>
              <w:t>45</w:t>
            </w:r>
          </w:p>
        </w:tc>
        <w:tc>
          <w:tcPr>
            <w:tcW w:w="10340" w:type="dxa"/>
            <w:vAlign w:val="center"/>
          </w:tcPr>
          <w:p w14:paraId="7A734D99">
            <w:pPr>
              <w:spacing w:after="0" w:line="240" w:lineRule="auto"/>
              <w:rPr>
                <w:rFonts w:hint="eastAsia" w:eastAsia="仿宋_GB2312"/>
                <w:lang w:eastAsia="zh-CN"/>
              </w:rPr>
            </w:pPr>
            <w:r>
              <w:rPr>
                <w:rFonts w:ascii="仿宋_GB2312" w:hAnsi="仿宋_GB2312" w:eastAsia="仿宋_GB2312"/>
                <w:b w:val="0"/>
                <w:sz w:val="18"/>
              </w:rPr>
              <w:t>卫生器具的水效等级应达到1级</w:t>
            </w:r>
            <w:r>
              <w:rPr>
                <w:rFonts w:hint="eastAsia" w:ascii="仿宋_GB2312" w:hAnsi="仿宋_GB2312" w:eastAsia="仿宋_GB2312"/>
                <w:b w:val="0"/>
                <w:sz w:val="18"/>
                <w:lang w:eastAsia="zh-CN"/>
              </w:rPr>
              <w:t>。</w:t>
            </w:r>
          </w:p>
        </w:tc>
        <w:tc>
          <w:tcPr>
            <w:tcW w:w="1619" w:type="dxa"/>
            <w:vAlign w:val="center"/>
          </w:tcPr>
          <w:p w14:paraId="3B81967B">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27C46D2F">
            <w:pPr>
              <w:spacing w:after="0" w:line="240" w:lineRule="auto"/>
            </w:pPr>
          </w:p>
        </w:tc>
      </w:tr>
      <w:tr w14:paraId="4AF46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EB2CA29">
            <w:pPr>
              <w:spacing w:after="0" w:line="240" w:lineRule="auto"/>
              <w:jc w:val="center"/>
            </w:pPr>
            <w:r>
              <w:rPr>
                <w:rFonts w:ascii="仿宋_GB2312" w:hAnsi="仿宋_GB2312" w:eastAsia="仿宋_GB2312"/>
                <w:b w:val="0"/>
                <w:sz w:val="18"/>
              </w:rPr>
              <w:t>46</w:t>
            </w:r>
          </w:p>
        </w:tc>
        <w:tc>
          <w:tcPr>
            <w:tcW w:w="10340" w:type="dxa"/>
            <w:vAlign w:val="center"/>
          </w:tcPr>
          <w:p w14:paraId="2F665C47">
            <w:pPr>
              <w:spacing w:after="0" w:line="240" w:lineRule="auto"/>
              <w:rPr>
                <w:rFonts w:hint="eastAsia" w:eastAsia="仿宋_GB2312"/>
                <w:lang w:eastAsia="zh-CN"/>
              </w:rPr>
            </w:pPr>
            <w:r>
              <w:rPr>
                <w:rFonts w:ascii="仿宋_GB2312" w:hAnsi="仿宋_GB2312" w:eastAsia="仿宋_GB2312"/>
                <w:b w:val="0"/>
                <w:sz w:val="18"/>
              </w:rPr>
              <w:t>厨房不设置地漏</w:t>
            </w:r>
            <w:r>
              <w:rPr>
                <w:rFonts w:hint="eastAsia" w:ascii="仿宋_GB2312" w:hAnsi="仿宋_GB2312" w:eastAsia="仿宋_GB2312"/>
                <w:b w:val="0"/>
                <w:sz w:val="18"/>
                <w:lang w:eastAsia="zh-CN"/>
              </w:rPr>
              <w:t>。</w:t>
            </w:r>
          </w:p>
        </w:tc>
        <w:tc>
          <w:tcPr>
            <w:tcW w:w="1619" w:type="dxa"/>
            <w:vAlign w:val="center"/>
          </w:tcPr>
          <w:p w14:paraId="0635F6CE">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7479E49B">
            <w:pPr>
              <w:spacing w:after="0" w:line="240" w:lineRule="auto"/>
            </w:pPr>
          </w:p>
        </w:tc>
      </w:tr>
      <w:tr w14:paraId="08BD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32DDB2C">
            <w:pPr>
              <w:spacing w:after="0" w:line="240" w:lineRule="auto"/>
              <w:jc w:val="center"/>
            </w:pPr>
            <w:r>
              <w:rPr>
                <w:rFonts w:ascii="仿宋_GB2312" w:hAnsi="仿宋_GB2312" w:eastAsia="仿宋_GB2312"/>
                <w:b w:val="0"/>
                <w:sz w:val="18"/>
              </w:rPr>
              <w:t>47</w:t>
            </w:r>
          </w:p>
        </w:tc>
        <w:tc>
          <w:tcPr>
            <w:tcW w:w="10340" w:type="dxa"/>
            <w:vAlign w:val="center"/>
          </w:tcPr>
          <w:p w14:paraId="1E587C7D">
            <w:pPr>
              <w:spacing w:after="0" w:line="240" w:lineRule="auto"/>
              <w:rPr>
                <w:rFonts w:hint="eastAsia" w:eastAsia="仿宋_GB2312"/>
                <w:lang w:eastAsia="zh-CN"/>
              </w:rPr>
            </w:pPr>
            <w:r>
              <w:rPr>
                <w:rFonts w:ascii="仿宋_GB2312" w:hAnsi="仿宋_GB2312" w:eastAsia="仿宋_GB2312"/>
                <w:b w:val="0"/>
                <w:sz w:val="18"/>
              </w:rPr>
              <w:t>室内的排水管采用柔性接口离心铸铁排水管、聚丙烯（PP）静音管、高密度聚乙烯（HDPE）静音管等密封性能好、降噪性能好的管材</w:t>
            </w:r>
            <w:r>
              <w:rPr>
                <w:rFonts w:hint="eastAsia" w:ascii="仿宋_GB2312" w:hAnsi="仿宋_GB2312" w:eastAsia="仿宋_GB2312"/>
                <w:b w:val="0"/>
                <w:sz w:val="18"/>
                <w:lang w:eastAsia="zh-CN"/>
              </w:rPr>
              <w:t>。</w:t>
            </w:r>
          </w:p>
        </w:tc>
        <w:tc>
          <w:tcPr>
            <w:tcW w:w="1619" w:type="dxa"/>
            <w:vAlign w:val="center"/>
          </w:tcPr>
          <w:p w14:paraId="796A1062">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339B88CD">
            <w:pPr>
              <w:spacing w:after="0" w:line="240" w:lineRule="auto"/>
            </w:pPr>
          </w:p>
        </w:tc>
      </w:tr>
      <w:tr w14:paraId="77AE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2A54C48">
            <w:pPr>
              <w:spacing w:after="0" w:line="240" w:lineRule="auto"/>
              <w:jc w:val="center"/>
            </w:pPr>
            <w:r>
              <w:rPr>
                <w:rFonts w:ascii="仿宋_GB2312" w:hAnsi="仿宋_GB2312" w:eastAsia="仿宋_GB2312"/>
                <w:b w:val="0"/>
                <w:sz w:val="18"/>
              </w:rPr>
              <w:t>48</w:t>
            </w:r>
          </w:p>
        </w:tc>
        <w:tc>
          <w:tcPr>
            <w:tcW w:w="10340" w:type="dxa"/>
            <w:vAlign w:val="center"/>
          </w:tcPr>
          <w:p w14:paraId="22FA6007">
            <w:pPr>
              <w:spacing w:after="0" w:line="240" w:lineRule="auto"/>
              <w:rPr>
                <w:rFonts w:hint="eastAsia" w:eastAsia="仿宋_GB2312"/>
                <w:lang w:eastAsia="zh-CN"/>
              </w:rPr>
            </w:pPr>
            <w:r>
              <w:rPr>
                <w:rFonts w:ascii="仿宋_GB2312" w:hAnsi="仿宋_GB2312" w:eastAsia="仿宋_GB2312"/>
                <w:b w:val="0"/>
                <w:sz w:val="18"/>
              </w:rPr>
              <w:t>空气相对湿度为30%～60%</w:t>
            </w:r>
            <w:r>
              <w:rPr>
                <w:rFonts w:hint="eastAsia" w:ascii="仿宋_GB2312" w:hAnsi="仿宋_GB2312" w:eastAsia="仿宋_GB2312"/>
                <w:b w:val="0"/>
                <w:sz w:val="18"/>
                <w:lang w:eastAsia="zh-CN"/>
              </w:rPr>
              <w:t>。</w:t>
            </w:r>
          </w:p>
        </w:tc>
        <w:tc>
          <w:tcPr>
            <w:tcW w:w="1619" w:type="dxa"/>
            <w:vAlign w:val="center"/>
          </w:tcPr>
          <w:p w14:paraId="1ED2BDA4">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0E452674">
            <w:pPr>
              <w:spacing w:after="0" w:line="240" w:lineRule="auto"/>
              <w:rPr>
                <w:rFonts w:hint="eastAsia" w:ascii="仿宋_GB2312" w:hAnsi="仿宋_GB2312" w:eastAsia="仿宋_GB2312"/>
                <w:b w:val="0"/>
                <w:sz w:val="18"/>
                <w:lang w:val="en-US" w:eastAsia="zh-CN"/>
              </w:rPr>
            </w:pPr>
            <w:r>
              <w:rPr>
                <w:rFonts w:hint="eastAsia" w:ascii="仿宋_GB2312" w:hAnsi="仿宋_GB2312" w:eastAsia="仿宋_GB2312"/>
                <w:b w:val="0"/>
                <w:sz w:val="18"/>
                <w:lang w:val="en-US" w:eastAsia="zh-CN"/>
              </w:rPr>
              <w:t>满足</w:t>
            </w:r>
            <w:r>
              <w:rPr>
                <w:rFonts w:hint="default" w:ascii="仿宋_GB2312" w:hAnsi="仿宋_GB2312" w:eastAsia="仿宋_GB2312"/>
                <w:b w:val="0"/>
                <w:sz w:val="18"/>
                <w:lang w:val="en-US" w:eastAsia="zh-CN"/>
              </w:rPr>
              <w:t>3</w:t>
            </w:r>
            <w:r>
              <w:rPr>
                <w:rFonts w:hint="eastAsia" w:ascii="仿宋_GB2312" w:hAnsi="仿宋_GB2312" w:eastAsia="仿宋_GB2312"/>
                <w:b w:val="0"/>
                <w:sz w:val="18"/>
                <w:lang w:val="en-US" w:eastAsia="zh-CN"/>
              </w:rPr>
              <w:t>项</w:t>
            </w:r>
            <w:r>
              <w:rPr>
                <w:rFonts w:hint="default" w:ascii="仿宋_GB2312" w:hAnsi="仿宋_GB2312" w:eastAsia="仿宋_GB2312"/>
                <w:b w:val="0"/>
                <w:sz w:val="18"/>
                <w:lang w:val="en-US" w:eastAsia="zh-CN"/>
              </w:rPr>
              <w:t>10</w:t>
            </w:r>
            <w:r>
              <w:rPr>
                <w:rFonts w:hint="eastAsia" w:ascii="仿宋_GB2312" w:hAnsi="仿宋_GB2312" w:eastAsia="仿宋_GB2312"/>
                <w:b w:val="0"/>
                <w:sz w:val="18"/>
                <w:lang w:val="en-US" w:eastAsia="zh-CN"/>
              </w:rPr>
              <w:t>分，</w:t>
            </w:r>
          </w:p>
          <w:p w14:paraId="5C27AB42">
            <w:pPr>
              <w:spacing w:after="0" w:line="240" w:lineRule="auto"/>
              <w:rPr>
                <w:rFonts w:hint="eastAsia" w:ascii="仿宋_GB2312" w:hAnsi="仿宋_GB2312" w:eastAsia="仿宋_GB2312"/>
                <w:b w:val="0"/>
                <w:sz w:val="18"/>
                <w:lang w:val="en-US" w:eastAsia="zh-CN"/>
              </w:rPr>
            </w:pPr>
            <w:r>
              <w:rPr>
                <w:rFonts w:hint="eastAsia" w:ascii="仿宋_GB2312" w:hAnsi="仿宋_GB2312" w:eastAsia="仿宋_GB2312"/>
                <w:b w:val="0"/>
                <w:sz w:val="18"/>
                <w:lang w:val="en-US" w:eastAsia="zh-CN"/>
              </w:rPr>
              <w:t>满足</w:t>
            </w:r>
            <w:r>
              <w:rPr>
                <w:rFonts w:hint="default" w:ascii="仿宋_GB2312" w:hAnsi="仿宋_GB2312" w:eastAsia="仿宋_GB2312"/>
                <w:b w:val="0"/>
                <w:sz w:val="18"/>
                <w:lang w:val="en-US" w:eastAsia="zh-CN"/>
              </w:rPr>
              <w:t>6</w:t>
            </w:r>
            <w:r>
              <w:rPr>
                <w:rFonts w:hint="eastAsia" w:ascii="仿宋_GB2312" w:hAnsi="仿宋_GB2312" w:eastAsia="仿宋_GB2312"/>
                <w:b w:val="0"/>
                <w:sz w:val="18"/>
                <w:lang w:val="en-US" w:eastAsia="zh-CN"/>
              </w:rPr>
              <w:t>项</w:t>
            </w:r>
            <w:r>
              <w:rPr>
                <w:rFonts w:hint="default" w:ascii="仿宋_GB2312" w:hAnsi="仿宋_GB2312" w:eastAsia="仿宋_GB2312"/>
                <w:b w:val="0"/>
                <w:sz w:val="18"/>
                <w:lang w:val="en-US" w:eastAsia="zh-CN"/>
              </w:rPr>
              <w:t>20</w:t>
            </w:r>
            <w:r>
              <w:rPr>
                <w:rFonts w:hint="eastAsia" w:ascii="仿宋_GB2312" w:hAnsi="仿宋_GB2312" w:eastAsia="仿宋_GB2312"/>
                <w:b w:val="0"/>
                <w:sz w:val="18"/>
                <w:lang w:val="en-US" w:eastAsia="zh-CN"/>
              </w:rPr>
              <w:t>分，</w:t>
            </w:r>
          </w:p>
          <w:p w14:paraId="38EA9C28">
            <w:pPr>
              <w:spacing w:after="0" w:line="240" w:lineRule="auto"/>
              <w:rPr>
                <w:rFonts w:hint="eastAsia" w:ascii="仿宋_GB2312" w:hAnsi="仿宋_GB2312" w:eastAsia="仿宋_GB2312"/>
                <w:b w:val="0"/>
                <w:sz w:val="18"/>
                <w:lang w:val="en-US" w:eastAsia="zh"/>
              </w:rPr>
            </w:pPr>
            <w:r>
              <w:rPr>
                <w:rFonts w:hint="eastAsia" w:ascii="仿宋_GB2312" w:hAnsi="仿宋_GB2312" w:eastAsia="仿宋_GB2312"/>
                <w:b w:val="0"/>
                <w:sz w:val="18"/>
                <w:lang w:val="en-US" w:eastAsia="zh-CN"/>
              </w:rPr>
              <w:t>满足</w:t>
            </w:r>
            <w:r>
              <w:rPr>
                <w:rFonts w:hint="default" w:ascii="仿宋_GB2312" w:hAnsi="仿宋_GB2312" w:eastAsia="仿宋_GB2312"/>
                <w:b w:val="0"/>
                <w:sz w:val="18"/>
                <w:lang w:val="en-US" w:eastAsia="zh-CN"/>
              </w:rPr>
              <w:t>9</w:t>
            </w:r>
            <w:r>
              <w:rPr>
                <w:rFonts w:hint="eastAsia" w:ascii="仿宋_GB2312" w:hAnsi="仿宋_GB2312" w:eastAsia="仿宋_GB2312"/>
                <w:b w:val="0"/>
                <w:sz w:val="18"/>
                <w:lang w:val="en-US" w:eastAsia="zh-CN"/>
              </w:rPr>
              <w:t>项</w:t>
            </w:r>
            <w:r>
              <w:rPr>
                <w:rFonts w:hint="default" w:ascii="仿宋_GB2312" w:hAnsi="仿宋_GB2312" w:eastAsia="仿宋_GB2312"/>
                <w:b w:val="0"/>
                <w:sz w:val="18"/>
                <w:lang w:val="en-US" w:eastAsia="zh-CN"/>
              </w:rPr>
              <w:t>30</w:t>
            </w:r>
            <w:r>
              <w:rPr>
                <w:rFonts w:hint="eastAsia" w:ascii="仿宋_GB2312" w:hAnsi="仿宋_GB2312" w:eastAsia="仿宋_GB2312"/>
                <w:b w:val="0"/>
                <w:sz w:val="18"/>
                <w:lang w:val="en-US" w:eastAsia="zh-CN"/>
              </w:rPr>
              <w:t>分</w:t>
            </w:r>
            <w:r>
              <w:rPr>
                <w:rFonts w:hint="eastAsia" w:ascii="仿宋_GB2312" w:hAnsi="仿宋_GB2312" w:eastAsia="仿宋_GB2312"/>
                <w:b w:val="0"/>
                <w:sz w:val="18"/>
                <w:lang w:val="en-US" w:eastAsia="zh"/>
              </w:rPr>
              <w:t>，</w:t>
            </w:r>
          </w:p>
          <w:p w14:paraId="797C0DC8">
            <w:pPr>
              <w:spacing w:after="0" w:line="240" w:lineRule="auto"/>
            </w:pPr>
            <w:r>
              <w:rPr>
                <w:rFonts w:hint="eastAsia" w:ascii="仿宋_GB2312" w:hAnsi="仿宋_GB2312" w:eastAsia="仿宋_GB2312"/>
                <w:b w:val="0"/>
                <w:sz w:val="18"/>
                <w:lang w:val="en-US" w:eastAsia="zh-CN"/>
              </w:rPr>
              <w:t>满足</w:t>
            </w:r>
            <w:r>
              <w:rPr>
                <w:rFonts w:hint="default" w:ascii="仿宋_GB2312" w:hAnsi="仿宋_GB2312" w:eastAsia="仿宋_GB2312"/>
                <w:b w:val="0"/>
                <w:sz w:val="18"/>
                <w:lang w:val="en-US" w:eastAsia="zh-CN"/>
              </w:rPr>
              <w:t>12</w:t>
            </w:r>
            <w:r>
              <w:rPr>
                <w:rFonts w:hint="eastAsia" w:ascii="仿宋_GB2312" w:hAnsi="仿宋_GB2312" w:eastAsia="仿宋_GB2312"/>
                <w:b w:val="0"/>
                <w:sz w:val="18"/>
                <w:lang w:val="en-US" w:eastAsia="zh-CN"/>
              </w:rPr>
              <w:t>项以上</w:t>
            </w:r>
            <w:r>
              <w:rPr>
                <w:rFonts w:hint="default" w:ascii="仿宋_GB2312" w:hAnsi="仿宋_GB2312" w:eastAsia="仿宋_GB2312"/>
                <w:b w:val="0"/>
                <w:sz w:val="18"/>
                <w:lang w:val="en-US" w:eastAsia="zh-CN"/>
              </w:rPr>
              <w:t>4</w:t>
            </w:r>
            <w:r>
              <w:rPr>
                <w:rFonts w:hint="eastAsia" w:ascii="仿宋_GB2312" w:hAnsi="仿宋_GB2312" w:eastAsia="仿宋_GB2312"/>
                <w:b w:val="0"/>
                <w:sz w:val="18"/>
                <w:lang w:val="en-US" w:eastAsia="zh"/>
              </w:rPr>
              <w:t>5</w:t>
            </w:r>
            <w:r>
              <w:rPr>
                <w:rFonts w:hint="eastAsia" w:ascii="仿宋_GB2312" w:hAnsi="仿宋_GB2312" w:eastAsia="仿宋_GB2312"/>
                <w:b w:val="0"/>
                <w:sz w:val="18"/>
                <w:lang w:val="en-US" w:eastAsia="zh-CN"/>
              </w:rPr>
              <w:t>分</w:t>
            </w:r>
          </w:p>
        </w:tc>
      </w:tr>
      <w:tr w14:paraId="3325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35C550F">
            <w:pPr>
              <w:spacing w:after="0" w:line="240" w:lineRule="auto"/>
              <w:jc w:val="center"/>
            </w:pPr>
            <w:r>
              <w:rPr>
                <w:rFonts w:ascii="仿宋_GB2312" w:hAnsi="仿宋_GB2312" w:eastAsia="仿宋_GB2312"/>
                <w:b w:val="0"/>
                <w:sz w:val="18"/>
              </w:rPr>
              <w:t>49</w:t>
            </w:r>
          </w:p>
        </w:tc>
        <w:tc>
          <w:tcPr>
            <w:tcW w:w="10340" w:type="dxa"/>
            <w:vAlign w:val="center"/>
          </w:tcPr>
          <w:p w14:paraId="76BB5B52">
            <w:pPr>
              <w:spacing w:after="0" w:line="240" w:lineRule="auto"/>
            </w:pPr>
            <w:r>
              <w:rPr>
                <w:rFonts w:ascii="仿宋_GB2312" w:hAnsi="仿宋_GB2312" w:eastAsia="仿宋_GB2312"/>
                <w:b w:val="0"/>
                <w:sz w:val="18"/>
              </w:rPr>
              <w:t>新风系统所需最小新风量应符合现行行业标准《住宅新风系统技术标准》JGJ/T 440的相关规定；</w:t>
            </w:r>
          </w:p>
        </w:tc>
        <w:tc>
          <w:tcPr>
            <w:tcW w:w="1619" w:type="dxa"/>
            <w:vAlign w:val="center"/>
          </w:tcPr>
          <w:p w14:paraId="2839DFEF">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2CA73376">
            <w:pPr>
              <w:spacing w:after="0" w:line="240" w:lineRule="auto"/>
            </w:pPr>
          </w:p>
        </w:tc>
      </w:tr>
      <w:tr w14:paraId="68B3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32DF57F">
            <w:pPr>
              <w:spacing w:after="0" w:line="240" w:lineRule="auto"/>
              <w:jc w:val="center"/>
            </w:pPr>
            <w:r>
              <w:rPr>
                <w:rFonts w:ascii="仿宋_GB2312" w:hAnsi="仿宋_GB2312" w:eastAsia="仿宋_GB2312"/>
                <w:b w:val="0"/>
                <w:sz w:val="18"/>
              </w:rPr>
              <w:t>50</w:t>
            </w:r>
          </w:p>
        </w:tc>
        <w:tc>
          <w:tcPr>
            <w:tcW w:w="10340" w:type="dxa"/>
            <w:vAlign w:val="center"/>
          </w:tcPr>
          <w:p w14:paraId="33529D98">
            <w:pPr>
              <w:spacing w:after="0" w:line="240" w:lineRule="auto"/>
            </w:pPr>
            <w:r>
              <w:rPr>
                <w:rFonts w:ascii="仿宋_GB2312" w:hAnsi="仿宋_GB2312" w:eastAsia="仿宋_GB2312"/>
                <w:b w:val="0"/>
                <w:sz w:val="18"/>
              </w:rPr>
              <w:t>套内供暖空调系统和新风系统正常运行时，人员长期逗留区域的风速，供冷工况≤0.25m/s，供热工况≤0.2m/s；</w:t>
            </w:r>
          </w:p>
        </w:tc>
        <w:tc>
          <w:tcPr>
            <w:tcW w:w="1619" w:type="dxa"/>
            <w:vAlign w:val="center"/>
          </w:tcPr>
          <w:p w14:paraId="71EDD7D4">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7F50947F">
            <w:pPr>
              <w:spacing w:after="0" w:line="240" w:lineRule="auto"/>
            </w:pPr>
          </w:p>
        </w:tc>
      </w:tr>
      <w:tr w14:paraId="5DAB1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C25F78A">
            <w:pPr>
              <w:spacing w:after="0" w:line="240" w:lineRule="auto"/>
              <w:jc w:val="center"/>
            </w:pPr>
            <w:r>
              <w:rPr>
                <w:rFonts w:ascii="仿宋_GB2312" w:hAnsi="仿宋_GB2312" w:eastAsia="仿宋_GB2312"/>
                <w:b w:val="0"/>
                <w:sz w:val="18"/>
              </w:rPr>
              <w:t>51</w:t>
            </w:r>
          </w:p>
        </w:tc>
        <w:tc>
          <w:tcPr>
            <w:tcW w:w="10340" w:type="dxa"/>
            <w:vAlign w:val="center"/>
          </w:tcPr>
          <w:p w14:paraId="5F3CC774">
            <w:pPr>
              <w:spacing w:after="0" w:line="240" w:lineRule="auto"/>
            </w:pPr>
            <w:r>
              <w:rPr>
                <w:rFonts w:ascii="仿宋_GB2312" w:hAnsi="仿宋_GB2312" w:eastAsia="仿宋_GB2312"/>
                <w:b w:val="0"/>
                <w:sz w:val="18"/>
              </w:rPr>
              <w:t>采用分体空调时，设置新风系统；</w:t>
            </w:r>
          </w:p>
        </w:tc>
        <w:tc>
          <w:tcPr>
            <w:tcW w:w="1619" w:type="dxa"/>
            <w:vAlign w:val="center"/>
          </w:tcPr>
          <w:p w14:paraId="317B7469">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586727E3">
            <w:pPr>
              <w:spacing w:after="0" w:line="240" w:lineRule="auto"/>
            </w:pPr>
          </w:p>
        </w:tc>
      </w:tr>
      <w:tr w14:paraId="55ED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B693950">
            <w:pPr>
              <w:spacing w:after="0" w:line="240" w:lineRule="auto"/>
              <w:jc w:val="center"/>
            </w:pPr>
            <w:r>
              <w:rPr>
                <w:rFonts w:ascii="仿宋_GB2312" w:hAnsi="仿宋_GB2312" w:eastAsia="仿宋_GB2312"/>
                <w:b w:val="0"/>
                <w:sz w:val="18"/>
              </w:rPr>
              <w:t>52</w:t>
            </w:r>
          </w:p>
        </w:tc>
        <w:tc>
          <w:tcPr>
            <w:tcW w:w="10340" w:type="dxa"/>
            <w:vAlign w:val="center"/>
          </w:tcPr>
          <w:p w14:paraId="777F92A6">
            <w:pPr>
              <w:spacing w:after="0" w:line="240" w:lineRule="auto"/>
            </w:pPr>
            <w:r>
              <w:rPr>
                <w:rFonts w:ascii="仿宋_GB2312" w:hAnsi="仿宋_GB2312" w:eastAsia="仿宋_GB2312"/>
                <w:b w:val="0"/>
                <w:sz w:val="18"/>
              </w:rPr>
              <w:t>新风机组应具备PM2.5过滤功能，过滤效率≥95%；</w:t>
            </w:r>
          </w:p>
        </w:tc>
        <w:tc>
          <w:tcPr>
            <w:tcW w:w="1619" w:type="dxa"/>
            <w:vAlign w:val="center"/>
          </w:tcPr>
          <w:p w14:paraId="4E3A90FF">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302FD4D5">
            <w:pPr>
              <w:spacing w:after="0" w:line="240" w:lineRule="auto"/>
            </w:pPr>
          </w:p>
        </w:tc>
      </w:tr>
      <w:tr w14:paraId="56AAA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FFCD4D2">
            <w:pPr>
              <w:spacing w:after="0" w:line="240" w:lineRule="auto"/>
              <w:jc w:val="center"/>
            </w:pPr>
            <w:r>
              <w:rPr>
                <w:rFonts w:ascii="仿宋_GB2312" w:hAnsi="仿宋_GB2312" w:eastAsia="仿宋_GB2312"/>
                <w:b w:val="0"/>
                <w:sz w:val="18"/>
              </w:rPr>
              <w:t>53</w:t>
            </w:r>
          </w:p>
        </w:tc>
        <w:tc>
          <w:tcPr>
            <w:tcW w:w="10340" w:type="dxa"/>
            <w:vAlign w:val="center"/>
          </w:tcPr>
          <w:p w14:paraId="27365448">
            <w:pPr>
              <w:spacing w:after="0" w:line="240" w:lineRule="auto"/>
            </w:pPr>
            <w:r>
              <w:rPr>
                <w:rFonts w:ascii="仿宋_GB2312" w:hAnsi="仿宋_GB2312" w:eastAsia="仿宋_GB2312"/>
                <w:b w:val="0"/>
                <w:sz w:val="18"/>
              </w:rPr>
              <w:t>排风量不大于新风量，保证室内微正压环境；</w:t>
            </w:r>
          </w:p>
        </w:tc>
        <w:tc>
          <w:tcPr>
            <w:tcW w:w="1619" w:type="dxa"/>
            <w:vAlign w:val="center"/>
          </w:tcPr>
          <w:p w14:paraId="084A23E1">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66A4019">
            <w:pPr>
              <w:spacing w:after="0" w:line="240" w:lineRule="auto"/>
            </w:pPr>
          </w:p>
        </w:tc>
      </w:tr>
      <w:tr w14:paraId="5033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39831A5">
            <w:pPr>
              <w:spacing w:after="0" w:line="240" w:lineRule="auto"/>
              <w:jc w:val="center"/>
            </w:pPr>
            <w:r>
              <w:rPr>
                <w:rFonts w:ascii="仿宋_GB2312" w:hAnsi="仿宋_GB2312" w:eastAsia="仿宋_GB2312"/>
                <w:b w:val="0"/>
                <w:sz w:val="18"/>
              </w:rPr>
              <w:t>54</w:t>
            </w:r>
          </w:p>
        </w:tc>
        <w:tc>
          <w:tcPr>
            <w:tcW w:w="10340" w:type="dxa"/>
            <w:vAlign w:val="center"/>
          </w:tcPr>
          <w:p w14:paraId="12F3AD25">
            <w:pPr>
              <w:spacing w:after="0" w:line="240" w:lineRule="auto"/>
            </w:pPr>
            <w:r>
              <w:rPr>
                <w:rFonts w:ascii="仿宋_GB2312" w:hAnsi="仿宋_GB2312" w:eastAsia="仿宋_GB2312"/>
                <w:b w:val="0"/>
                <w:sz w:val="18"/>
              </w:rPr>
              <w:t>新风机组应能变风量运行；</w:t>
            </w:r>
          </w:p>
        </w:tc>
        <w:tc>
          <w:tcPr>
            <w:tcW w:w="1619" w:type="dxa"/>
            <w:vAlign w:val="center"/>
          </w:tcPr>
          <w:p w14:paraId="62930D06">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3AE22D57">
            <w:pPr>
              <w:spacing w:after="0" w:line="240" w:lineRule="auto"/>
            </w:pPr>
          </w:p>
        </w:tc>
      </w:tr>
      <w:tr w14:paraId="61A9A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11627A7">
            <w:pPr>
              <w:spacing w:after="0" w:line="240" w:lineRule="auto"/>
              <w:jc w:val="center"/>
            </w:pPr>
            <w:r>
              <w:rPr>
                <w:rFonts w:ascii="仿宋_GB2312" w:hAnsi="仿宋_GB2312" w:eastAsia="仿宋_GB2312"/>
                <w:b w:val="0"/>
                <w:sz w:val="18"/>
              </w:rPr>
              <w:t>55</w:t>
            </w:r>
          </w:p>
        </w:tc>
        <w:tc>
          <w:tcPr>
            <w:tcW w:w="10340" w:type="dxa"/>
            <w:vAlign w:val="center"/>
          </w:tcPr>
          <w:p w14:paraId="747B0E56">
            <w:pPr>
              <w:spacing w:after="0" w:line="240" w:lineRule="auto"/>
            </w:pPr>
            <w:r>
              <w:rPr>
                <w:rFonts w:ascii="仿宋_GB2312" w:hAnsi="仿宋_GB2312" w:eastAsia="仿宋_GB2312"/>
                <w:b w:val="0"/>
                <w:sz w:val="18"/>
              </w:rPr>
              <w:t>新风机组应带有热回收装置，并具备旁通功能，制冷工况下全热效率≥60%，显热效率≥65%，制热工况下全热效率≥65%，显热效率≥70%；</w:t>
            </w:r>
          </w:p>
        </w:tc>
        <w:tc>
          <w:tcPr>
            <w:tcW w:w="1619" w:type="dxa"/>
            <w:vAlign w:val="center"/>
          </w:tcPr>
          <w:p w14:paraId="4EFCBFD9">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3A629608">
            <w:pPr>
              <w:spacing w:after="0" w:line="240" w:lineRule="auto"/>
            </w:pPr>
          </w:p>
        </w:tc>
      </w:tr>
      <w:tr w14:paraId="3EE9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10EB124">
            <w:pPr>
              <w:spacing w:after="0" w:line="240" w:lineRule="auto"/>
              <w:jc w:val="center"/>
            </w:pPr>
            <w:r>
              <w:rPr>
                <w:rFonts w:ascii="仿宋_GB2312" w:hAnsi="仿宋_GB2312" w:eastAsia="仿宋_GB2312"/>
                <w:b w:val="0"/>
                <w:sz w:val="18"/>
              </w:rPr>
              <w:t>56</w:t>
            </w:r>
          </w:p>
        </w:tc>
        <w:tc>
          <w:tcPr>
            <w:tcW w:w="10340" w:type="dxa"/>
            <w:vAlign w:val="center"/>
          </w:tcPr>
          <w:p w14:paraId="45DB5068">
            <w:pPr>
              <w:spacing w:after="0" w:line="240" w:lineRule="auto"/>
            </w:pPr>
            <w:r>
              <w:rPr>
                <w:rFonts w:ascii="仿宋_GB2312" w:hAnsi="仿宋_GB2312" w:eastAsia="仿宋_GB2312"/>
                <w:b w:val="0"/>
                <w:sz w:val="18"/>
              </w:rPr>
              <w:t>严寒、寒冷地区的新风系统应具备防冻保护功能；</w:t>
            </w:r>
          </w:p>
        </w:tc>
        <w:tc>
          <w:tcPr>
            <w:tcW w:w="1619" w:type="dxa"/>
            <w:vAlign w:val="center"/>
          </w:tcPr>
          <w:p w14:paraId="223FC442">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535F2BC">
            <w:pPr>
              <w:spacing w:after="0" w:line="240" w:lineRule="auto"/>
            </w:pPr>
          </w:p>
        </w:tc>
      </w:tr>
      <w:tr w14:paraId="30BE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BD272D8">
            <w:pPr>
              <w:spacing w:after="0" w:line="240" w:lineRule="auto"/>
              <w:jc w:val="center"/>
            </w:pPr>
            <w:r>
              <w:rPr>
                <w:rFonts w:ascii="仿宋_GB2312" w:hAnsi="仿宋_GB2312" w:eastAsia="仿宋_GB2312"/>
                <w:b w:val="0"/>
                <w:sz w:val="18"/>
              </w:rPr>
              <w:t>57</w:t>
            </w:r>
          </w:p>
        </w:tc>
        <w:tc>
          <w:tcPr>
            <w:tcW w:w="10340" w:type="dxa"/>
            <w:vAlign w:val="center"/>
          </w:tcPr>
          <w:p w14:paraId="035B1E26">
            <w:pPr>
              <w:spacing w:after="0" w:line="240" w:lineRule="auto"/>
            </w:pPr>
            <w:r>
              <w:rPr>
                <w:rFonts w:ascii="仿宋_GB2312" w:hAnsi="仿宋_GB2312" w:eastAsia="仿宋_GB2312"/>
                <w:b w:val="0"/>
                <w:sz w:val="18"/>
              </w:rPr>
              <w:t>新风系统应能够监测室内温度、湿度、PM10、PM2.5、CO₂浓度等室内空气质量参数；</w:t>
            </w:r>
          </w:p>
        </w:tc>
        <w:tc>
          <w:tcPr>
            <w:tcW w:w="1619" w:type="dxa"/>
            <w:vAlign w:val="center"/>
          </w:tcPr>
          <w:p w14:paraId="6B39C849">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12C85793">
            <w:pPr>
              <w:spacing w:after="0" w:line="240" w:lineRule="auto"/>
            </w:pPr>
          </w:p>
        </w:tc>
      </w:tr>
      <w:tr w14:paraId="0936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42BC3A2">
            <w:pPr>
              <w:spacing w:after="0" w:line="240" w:lineRule="auto"/>
              <w:jc w:val="center"/>
            </w:pPr>
            <w:r>
              <w:rPr>
                <w:rFonts w:ascii="仿宋_GB2312" w:hAnsi="仿宋_GB2312" w:eastAsia="仿宋_GB2312"/>
                <w:b w:val="0"/>
                <w:sz w:val="18"/>
              </w:rPr>
              <w:t>58</w:t>
            </w:r>
          </w:p>
        </w:tc>
        <w:tc>
          <w:tcPr>
            <w:tcW w:w="10340" w:type="dxa"/>
            <w:vAlign w:val="center"/>
          </w:tcPr>
          <w:p w14:paraId="543679AE">
            <w:pPr>
              <w:spacing w:after="0" w:line="240" w:lineRule="auto"/>
            </w:pPr>
            <w:r>
              <w:rPr>
                <w:rFonts w:ascii="仿宋_GB2312" w:hAnsi="仿宋_GB2312" w:eastAsia="仿宋_GB2312"/>
                <w:b w:val="0"/>
                <w:sz w:val="18"/>
              </w:rPr>
              <w:t>根据室内二氧化碳浓度变化，实现相应的设备启停、风机转速及新风阀开度调节；</w:t>
            </w:r>
          </w:p>
        </w:tc>
        <w:tc>
          <w:tcPr>
            <w:tcW w:w="1619" w:type="dxa"/>
            <w:vAlign w:val="center"/>
          </w:tcPr>
          <w:p w14:paraId="1DE8C651">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5AC39C80">
            <w:pPr>
              <w:spacing w:after="0" w:line="240" w:lineRule="auto"/>
            </w:pPr>
          </w:p>
        </w:tc>
      </w:tr>
      <w:tr w14:paraId="4AD2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7F6918A">
            <w:pPr>
              <w:spacing w:after="0" w:line="240" w:lineRule="auto"/>
              <w:jc w:val="center"/>
            </w:pPr>
            <w:r>
              <w:rPr>
                <w:rFonts w:ascii="仿宋_GB2312" w:hAnsi="仿宋_GB2312" w:eastAsia="仿宋_GB2312"/>
                <w:b w:val="0"/>
                <w:sz w:val="18"/>
              </w:rPr>
              <w:t>59</w:t>
            </w:r>
          </w:p>
        </w:tc>
        <w:tc>
          <w:tcPr>
            <w:tcW w:w="10340" w:type="dxa"/>
            <w:vAlign w:val="center"/>
          </w:tcPr>
          <w:p w14:paraId="6F90152E">
            <w:pPr>
              <w:spacing w:after="0" w:line="240" w:lineRule="auto"/>
            </w:pPr>
            <w:r>
              <w:rPr>
                <w:rFonts w:ascii="仿宋_GB2312" w:hAnsi="仿宋_GB2312" w:eastAsia="仿宋_GB2312"/>
                <w:b w:val="0"/>
                <w:sz w:val="18"/>
              </w:rPr>
              <w:t>设置压差传感器检测过滤器压差变化；</w:t>
            </w:r>
          </w:p>
        </w:tc>
        <w:tc>
          <w:tcPr>
            <w:tcW w:w="1619" w:type="dxa"/>
            <w:vAlign w:val="center"/>
          </w:tcPr>
          <w:p w14:paraId="0446FCDA">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5352DFE8">
            <w:pPr>
              <w:spacing w:after="0" w:line="240" w:lineRule="auto"/>
            </w:pPr>
          </w:p>
        </w:tc>
      </w:tr>
      <w:tr w14:paraId="774C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D06260D">
            <w:pPr>
              <w:spacing w:after="0" w:line="240" w:lineRule="auto"/>
              <w:jc w:val="center"/>
            </w:pPr>
            <w:r>
              <w:rPr>
                <w:rFonts w:ascii="仿宋_GB2312" w:hAnsi="仿宋_GB2312" w:eastAsia="仿宋_GB2312"/>
                <w:b w:val="0"/>
                <w:sz w:val="18"/>
              </w:rPr>
              <w:t>60</w:t>
            </w:r>
          </w:p>
        </w:tc>
        <w:tc>
          <w:tcPr>
            <w:tcW w:w="10340" w:type="dxa"/>
            <w:vAlign w:val="center"/>
          </w:tcPr>
          <w:p w14:paraId="729A74F9">
            <w:pPr>
              <w:spacing w:after="0" w:line="240" w:lineRule="auto"/>
            </w:pPr>
            <w:r>
              <w:rPr>
                <w:rFonts w:ascii="仿宋_GB2312" w:hAnsi="仿宋_GB2312" w:eastAsia="仿宋_GB2312"/>
                <w:b w:val="0"/>
                <w:sz w:val="18"/>
              </w:rPr>
              <w:t>根据最小经济温差（焓差）控制新风热回收装置的旁通阀，或联动外窗开启进行自然通风；</w:t>
            </w:r>
          </w:p>
        </w:tc>
        <w:tc>
          <w:tcPr>
            <w:tcW w:w="1619" w:type="dxa"/>
            <w:vAlign w:val="center"/>
          </w:tcPr>
          <w:p w14:paraId="6FF60B02">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3B4F470C">
            <w:pPr>
              <w:spacing w:after="0" w:line="240" w:lineRule="auto"/>
            </w:pPr>
          </w:p>
        </w:tc>
      </w:tr>
      <w:tr w14:paraId="7C0D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6591266">
            <w:pPr>
              <w:spacing w:after="0" w:line="240" w:lineRule="auto"/>
              <w:jc w:val="center"/>
            </w:pPr>
            <w:r>
              <w:rPr>
                <w:rFonts w:ascii="仿宋_GB2312" w:hAnsi="仿宋_GB2312" w:eastAsia="仿宋_GB2312"/>
                <w:b w:val="0"/>
                <w:sz w:val="18"/>
              </w:rPr>
              <w:t>61</w:t>
            </w:r>
          </w:p>
        </w:tc>
        <w:tc>
          <w:tcPr>
            <w:tcW w:w="10340" w:type="dxa"/>
            <w:vAlign w:val="center"/>
          </w:tcPr>
          <w:p w14:paraId="7223135F">
            <w:pPr>
              <w:spacing w:after="0" w:line="240" w:lineRule="auto"/>
            </w:pPr>
            <w:r>
              <w:rPr>
                <w:rFonts w:ascii="仿宋_GB2312" w:hAnsi="仿宋_GB2312" w:eastAsia="仿宋_GB2312"/>
                <w:b w:val="0"/>
                <w:sz w:val="18"/>
              </w:rPr>
              <w:t>应提供触摸屏或移动端操作软件等便捷的人机界面，宜提供APP接口；</w:t>
            </w:r>
          </w:p>
        </w:tc>
        <w:tc>
          <w:tcPr>
            <w:tcW w:w="1619" w:type="dxa"/>
            <w:vAlign w:val="center"/>
          </w:tcPr>
          <w:p w14:paraId="6EBE43C7">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EADF9CF">
            <w:pPr>
              <w:spacing w:after="0" w:line="240" w:lineRule="auto"/>
            </w:pPr>
          </w:p>
        </w:tc>
      </w:tr>
      <w:tr w14:paraId="5F57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C9E7B3D">
            <w:pPr>
              <w:spacing w:after="0" w:line="240" w:lineRule="auto"/>
              <w:jc w:val="center"/>
              <w:rPr>
                <w:rFonts w:hint="eastAsia" w:eastAsia="仿宋_GB2312"/>
                <w:lang w:eastAsia="zh-CN"/>
              </w:rPr>
            </w:pPr>
            <w:r>
              <w:rPr>
                <w:rFonts w:ascii="仿宋_GB2312" w:hAnsi="仿宋_GB2312" w:eastAsia="仿宋_GB2312"/>
                <w:b w:val="0"/>
                <w:sz w:val="18"/>
              </w:rPr>
              <w:t>6</w:t>
            </w:r>
            <w:r>
              <w:rPr>
                <w:rFonts w:hint="eastAsia" w:ascii="仿宋_GB2312" w:hAnsi="仿宋_GB2312" w:eastAsia="仿宋_GB2312"/>
                <w:b w:val="0"/>
                <w:sz w:val="18"/>
                <w:lang w:val="en-US" w:eastAsia="zh-CN"/>
              </w:rPr>
              <w:t>2</w:t>
            </w:r>
          </w:p>
        </w:tc>
        <w:tc>
          <w:tcPr>
            <w:tcW w:w="10340" w:type="dxa"/>
            <w:vAlign w:val="center"/>
          </w:tcPr>
          <w:p w14:paraId="58D46C0C">
            <w:pPr>
              <w:spacing w:after="0" w:line="240" w:lineRule="auto"/>
            </w:pPr>
            <w:r>
              <w:rPr>
                <w:rFonts w:ascii="仿宋_GB2312" w:hAnsi="仿宋_GB2312" w:eastAsia="仿宋_GB2312"/>
                <w:b w:val="0"/>
                <w:sz w:val="18"/>
              </w:rPr>
              <w:t>定期除草，绿地杂草占比＜2%，苗木存活率＞95%、缺株率＜3%；</w:t>
            </w:r>
          </w:p>
        </w:tc>
        <w:tc>
          <w:tcPr>
            <w:tcW w:w="1619" w:type="dxa"/>
            <w:vAlign w:val="center"/>
          </w:tcPr>
          <w:p w14:paraId="0D784F24">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4745B83F">
            <w:pPr>
              <w:tabs>
                <w:tab w:val="center" w:pos="772"/>
              </w:tabs>
              <w:spacing w:after="0" w:line="240" w:lineRule="auto"/>
              <w:rPr>
                <w:rFonts w:hint="eastAsia" w:eastAsia="仿宋_GB2312"/>
                <w:lang w:eastAsia="zh-CN"/>
              </w:rPr>
            </w:pPr>
            <w:r>
              <w:rPr>
                <w:rFonts w:ascii="仿宋_GB2312" w:hAnsi="仿宋_GB2312" w:eastAsia="仿宋_GB2312"/>
                <w:b w:val="0"/>
                <w:sz w:val="18"/>
              </w:rPr>
              <w:t>运行评价</w:t>
            </w:r>
            <w:r>
              <w:rPr>
                <w:rFonts w:hint="eastAsia" w:ascii="仿宋_GB2312" w:hAnsi="仿宋_GB2312" w:eastAsia="仿宋_GB2312"/>
                <w:b w:val="0"/>
                <w:sz w:val="18"/>
                <w:lang w:eastAsia="zh-CN"/>
              </w:rPr>
              <w:t>，</w:t>
            </w:r>
            <w:r>
              <w:rPr>
                <w:rFonts w:hint="eastAsia" w:ascii="仿宋_GB2312" w:hAnsi="仿宋_GB2312" w:eastAsia="仿宋_GB2312"/>
                <w:b w:val="0"/>
                <w:sz w:val="18"/>
                <w:lang w:val="en-US" w:eastAsia="zh-CN"/>
              </w:rPr>
              <w:t>满足</w:t>
            </w:r>
            <w:r>
              <w:rPr>
                <w:rFonts w:hint="default" w:ascii="仿宋_GB2312" w:hAnsi="仿宋_GB2312" w:eastAsia="仿宋_GB2312"/>
                <w:b w:val="0"/>
                <w:sz w:val="18"/>
                <w:lang w:val="en-US" w:eastAsia="zh-CN"/>
              </w:rPr>
              <w:t>1</w:t>
            </w:r>
            <w:r>
              <w:rPr>
                <w:rFonts w:hint="eastAsia" w:ascii="仿宋_GB2312" w:hAnsi="仿宋_GB2312" w:eastAsia="仿宋_GB2312"/>
                <w:b w:val="0"/>
                <w:sz w:val="18"/>
                <w:lang w:val="en-US" w:eastAsia="zh-CN"/>
              </w:rPr>
              <w:t>项</w:t>
            </w:r>
            <w:r>
              <w:rPr>
                <w:rFonts w:hint="default" w:ascii="仿宋_GB2312" w:hAnsi="仿宋_GB2312" w:eastAsia="仿宋_GB2312"/>
                <w:b w:val="0"/>
                <w:sz w:val="18"/>
                <w:lang w:val="en-US" w:eastAsia="zh-CN"/>
              </w:rPr>
              <w:t>5</w:t>
            </w:r>
            <w:r>
              <w:rPr>
                <w:rFonts w:hint="eastAsia" w:ascii="仿宋_GB2312" w:hAnsi="仿宋_GB2312" w:eastAsia="仿宋_GB2312"/>
                <w:b w:val="0"/>
                <w:sz w:val="18"/>
                <w:lang w:val="en-US" w:eastAsia="zh-CN"/>
              </w:rPr>
              <w:t>分，满足</w:t>
            </w:r>
            <w:r>
              <w:rPr>
                <w:rFonts w:hint="default" w:ascii="仿宋_GB2312" w:hAnsi="仿宋_GB2312" w:eastAsia="仿宋_GB2312"/>
                <w:b w:val="0"/>
                <w:sz w:val="18"/>
                <w:lang w:val="en-US" w:eastAsia="zh-CN"/>
              </w:rPr>
              <w:t>2</w:t>
            </w:r>
            <w:r>
              <w:rPr>
                <w:rFonts w:hint="eastAsia" w:ascii="仿宋_GB2312" w:hAnsi="仿宋_GB2312" w:eastAsia="仿宋_GB2312"/>
                <w:b w:val="0"/>
                <w:sz w:val="18"/>
                <w:lang w:val="en-US" w:eastAsia="zh-CN"/>
              </w:rPr>
              <w:t>项以上10分</w:t>
            </w:r>
          </w:p>
        </w:tc>
      </w:tr>
      <w:tr w14:paraId="4A17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AB1F9DC">
            <w:pPr>
              <w:spacing w:after="0" w:line="240" w:lineRule="auto"/>
              <w:jc w:val="center"/>
              <w:rPr>
                <w:rFonts w:hint="eastAsia" w:eastAsia="仿宋_GB2312"/>
                <w:lang w:eastAsia="zh-CN"/>
              </w:rPr>
            </w:pPr>
            <w:r>
              <w:rPr>
                <w:rFonts w:ascii="仿宋_GB2312" w:hAnsi="仿宋_GB2312" w:eastAsia="仿宋_GB2312"/>
                <w:b w:val="0"/>
                <w:sz w:val="18"/>
              </w:rPr>
              <w:t>6</w:t>
            </w:r>
            <w:r>
              <w:rPr>
                <w:rFonts w:hint="eastAsia" w:ascii="仿宋_GB2312" w:hAnsi="仿宋_GB2312" w:eastAsia="仿宋_GB2312"/>
                <w:b w:val="0"/>
                <w:sz w:val="18"/>
                <w:lang w:val="en-US" w:eastAsia="zh-CN"/>
              </w:rPr>
              <w:t>3</w:t>
            </w:r>
          </w:p>
        </w:tc>
        <w:tc>
          <w:tcPr>
            <w:tcW w:w="10340" w:type="dxa"/>
            <w:vAlign w:val="center"/>
          </w:tcPr>
          <w:p w14:paraId="11BF62CA">
            <w:pPr>
              <w:spacing w:after="0" w:line="240" w:lineRule="auto"/>
            </w:pPr>
            <w:r>
              <w:rPr>
                <w:rFonts w:ascii="仿宋_GB2312" w:hAnsi="仿宋_GB2312" w:eastAsia="仿宋_GB2312"/>
                <w:b w:val="0"/>
                <w:sz w:val="18"/>
              </w:rPr>
              <w:t>每月编制绿化养护措施和工作计划；</w:t>
            </w:r>
          </w:p>
        </w:tc>
        <w:tc>
          <w:tcPr>
            <w:tcW w:w="1619" w:type="dxa"/>
            <w:vAlign w:val="center"/>
          </w:tcPr>
          <w:p w14:paraId="2B1DD019">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4ECECF9">
            <w:pPr>
              <w:spacing w:after="0" w:line="240" w:lineRule="auto"/>
            </w:pPr>
          </w:p>
        </w:tc>
      </w:tr>
      <w:tr w14:paraId="0361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BF007B9">
            <w:pPr>
              <w:spacing w:after="0" w:line="240" w:lineRule="auto"/>
              <w:jc w:val="center"/>
              <w:rPr>
                <w:rFonts w:hint="eastAsia" w:eastAsia="仿宋_GB2312"/>
                <w:lang w:eastAsia="zh-CN"/>
              </w:rPr>
            </w:pPr>
            <w:r>
              <w:rPr>
                <w:rFonts w:ascii="仿宋_GB2312" w:hAnsi="仿宋_GB2312" w:eastAsia="仿宋_GB2312"/>
                <w:b w:val="0"/>
                <w:sz w:val="18"/>
              </w:rPr>
              <w:t>6</w:t>
            </w:r>
            <w:r>
              <w:rPr>
                <w:rFonts w:hint="eastAsia" w:ascii="仿宋_GB2312" w:hAnsi="仿宋_GB2312" w:eastAsia="仿宋_GB2312"/>
                <w:b w:val="0"/>
                <w:sz w:val="18"/>
                <w:lang w:val="en-US" w:eastAsia="zh-CN"/>
              </w:rPr>
              <w:t>4</w:t>
            </w:r>
          </w:p>
        </w:tc>
        <w:tc>
          <w:tcPr>
            <w:tcW w:w="10340" w:type="dxa"/>
            <w:vAlign w:val="center"/>
          </w:tcPr>
          <w:p w14:paraId="29C23C77">
            <w:pPr>
              <w:spacing w:after="0" w:line="240" w:lineRule="auto"/>
            </w:pPr>
            <w:r>
              <w:rPr>
                <w:rFonts w:ascii="仿宋_GB2312" w:hAnsi="仿宋_GB2312" w:eastAsia="仿宋_GB2312"/>
                <w:b w:val="0"/>
                <w:sz w:val="18"/>
              </w:rPr>
              <w:t>绿化作业垃圾半小时内清理；每年树木涂白防冻；采用生物、物理方式防治病虫害，禁用高毒、强刺激性农药。</w:t>
            </w:r>
          </w:p>
        </w:tc>
        <w:tc>
          <w:tcPr>
            <w:tcW w:w="1619" w:type="dxa"/>
            <w:vAlign w:val="center"/>
          </w:tcPr>
          <w:p w14:paraId="24EA72C3">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41D0BE50">
            <w:pPr>
              <w:spacing w:after="0" w:line="240" w:lineRule="auto"/>
            </w:pPr>
          </w:p>
        </w:tc>
      </w:tr>
    </w:tbl>
    <w:p w14:paraId="37C4D583">
      <w:pPr>
        <w:rPr>
          <w:rFonts w:ascii="楷体_GB2312" w:hAnsi="楷体_GB2312" w:eastAsia="楷体_GB2312"/>
          <w:b/>
          <w:bCs w:val="0"/>
          <w:sz w:val="28"/>
          <w:szCs w:val="28"/>
        </w:rPr>
      </w:pPr>
      <w:r>
        <w:rPr>
          <w:rFonts w:ascii="楷体_GB2312" w:hAnsi="楷体_GB2312" w:eastAsia="楷体_GB2312"/>
          <w:b/>
          <w:bCs w:val="0"/>
          <w:sz w:val="28"/>
          <w:szCs w:val="28"/>
        </w:rPr>
        <w:t>（三）加分项（共2条）</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0340"/>
        <w:gridCol w:w="1619"/>
        <w:gridCol w:w="1761"/>
      </w:tblGrid>
      <w:tr w14:paraId="334F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2F2F2"/>
            <w:vAlign w:val="center"/>
          </w:tcPr>
          <w:p w14:paraId="71DEF5E3">
            <w:pPr>
              <w:spacing w:after="0" w:line="240" w:lineRule="auto"/>
              <w:jc w:val="center"/>
              <w:rPr>
                <w:rFonts w:ascii="黑体" w:hAnsi="黑体" w:eastAsia="黑体"/>
                <w:b/>
                <w:sz w:val="24"/>
                <w:szCs w:val="24"/>
              </w:rPr>
            </w:pPr>
            <w:r>
              <w:rPr>
                <w:rFonts w:ascii="黑体" w:hAnsi="黑体" w:eastAsia="黑体"/>
                <w:b/>
                <w:sz w:val="24"/>
                <w:szCs w:val="24"/>
              </w:rPr>
              <w:t>序号</w:t>
            </w:r>
          </w:p>
        </w:tc>
        <w:tc>
          <w:tcPr>
            <w:tcW w:w="10340" w:type="dxa"/>
            <w:shd w:val="clear" w:color="auto" w:fill="F2F2F2"/>
            <w:vAlign w:val="center"/>
          </w:tcPr>
          <w:p w14:paraId="53E6484E">
            <w:pPr>
              <w:spacing w:after="0" w:line="240" w:lineRule="auto"/>
              <w:jc w:val="center"/>
              <w:rPr>
                <w:rFonts w:ascii="黑体" w:hAnsi="黑体" w:eastAsia="黑体"/>
                <w:b/>
                <w:sz w:val="24"/>
                <w:szCs w:val="24"/>
              </w:rPr>
            </w:pPr>
            <w:r>
              <w:rPr>
                <w:rFonts w:ascii="黑体" w:hAnsi="黑体" w:eastAsia="黑体"/>
                <w:b/>
                <w:sz w:val="24"/>
                <w:szCs w:val="24"/>
              </w:rPr>
              <w:t>加分项内容</w:t>
            </w:r>
          </w:p>
        </w:tc>
        <w:tc>
          <w:tcPr>
            <w:tcW w:w="1619" w:type="dxa"/>
            <w:shd w:val="clear" w:color="auto" w:fill="F2F2F2"/>
            <w:vAlign w:val="center"/>
          </w:tcPr>
          <w:p w14:paraId="10F8B2A8">
            <w:pPr>
              <w:spacing w:after="0" w:line="240" w:lineRule="auto"/>
              <w:jc w:val="center"/>
              <w:rPr>
                <w:rFonts w:ascii="黑体" w:hAnsi="黑体" w:eastAsia="黑体"/>
                <w:b/>
                <w:sz w:val="24"/>
                <w:szCs w:val="24"/>
              </w:rPr>
            </w:pPr>
            <w:r>
              <w:rPr>
                <w:rFonts w:ascii="黑体" w:hAnsi="黑体" w:eastAsia="黑体"/>
                <w:b/>
                <w:sz w:val="24"/>
                <w:szCs w:val="24"/>
              </w:rPr>
              <w:t>自查结果</w:t>
            </w:r>
          </w:p>
        </w:tc>
        <w:tc>
          <w:tcPr>
            <w:tcW w:w="1761" w:type="dxa"/>
            <w:shd w:val="clear" w:color="auto" w:fill="F2F2F2"/>
            <w:vAlign w:val="center"/>
          </w:tcPr>
          <w:p w14:paraId="4ECC013C">
            <w:pPr>
              <w:spacing w:after="0" w:line="240" w:lineRule="auto"/>
              <w:jc w:val="center"/>
              <w:rPr>
                <w:rFonts w:ascii="黑体" w:hAnsi="黑体" w:eastAsia="黑体"/>
                <w:b/>
                <w:sz w:val="24"/>
                <w:szCs w:val="24"/>
              </w:rPr>
            </w:pPr>
            <w:r>
              <w:rPr>
                <w:rFonts w:ascii="黑体" w:hAnsi="黑体" w:eastAsia="黑体"/>
                <w:b/>
                <w:sz w:val="24"/>
                <w:szCs w:val="24"/>
              </w:rPr>
              <w:t>备注</w:t>
            </w:r>
          </w:p>
        </w:tc>
      </w:tr>
      <w:tr w14:paraId="4AB8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B5C8990">
            <w:pPr>
              <w:spacing w:after="0" w:line="240" w:lineRule="auto"/>
              <w:jc w:val="center"/>
            </w:pPr>
            <w:r>
              <w:rPr>
                <w:rFonts w:ascii="仿宋_GB2312" w:hAnsi="仿宋_GB2312" w:eastAsia="仿宋_GB2312"/>
                <w:b w:val="0"/>
                <w:sz w:val="18"/>
              </w:rPr>
              <w:t>1</w:t>
            </w:r>
          </w:p>
        </w:tc>
        <w:tc>
          <w:tcPr>
            <w:tcW w:w="10340" w:type="dxa"/>
            <w:vAlign w:val="center"/>
          </w:tcPr>
          <w:p w14:paraId="1C054483">
            <w:pPr>
              <w:spacing w:after="0" w:line="240" w:lineRule="auto"/>
            </w:pPr>
            <w:r>
              <w:rPr>
                <w:rFonts w:ascii="仿宋_GB2312" w:hAnsi="仿宋_GB2312" w:eastAsia="仿宋_GB2312"/>
                <w:b w:val="0"/>
                <w:sz w:val="18"/>
              </w:rPr>
              <w:t>打造全屋空气智能调节系统，联动新风、空调、空气净化器，实现温湿度、PM2.5、CO₂等参数的自动调控，并支持手机远程控制。</w:t>
            </w:r>
          </w:p>
        </w:tc>
        <w:tc>
          <w:tcPr>
            <w:tcW w:w="1619" w:type="dxa"/>
            <w:vAlign w:val="center"/>
          </w:tcPr>
          <w:p w14:paraId="229DEAA8">
            <w:pPr>
              <w:spacing w:after="0" w:line="240" w:lineRule="auto"/>
              <w:jc w:val="center"/>
            </w:pPr>
            <w:r>
              <w:rPr>
                <w:rFonts w:ascii="仿宋_GB2312" w:hAnsi="仿宋_GB2312" w:eastAsia="仿宋_GB2312"/>
                <w:b w:val="0"/>
                <w:sz w:val="18"/>
              </w:rPr>
              <w:t>□符合 □不符合</w:t>
            </w:r>
          </w:p>
        </w:tc>
        <w:tc>
          <w:tcPr>
            <w:tcW w:w="1761" w:type="dxa"/>
            <w:vAlign w:val="center"/>
          </w:tcPr>
          <w:p w14:paraId="0CE76A00">
            <w:pPr>
              <w:spacing w:after="0" w:line="240" w:lineRule="auto"/>
              <w:jc w:val="center"/>
              <w:rPr>
                <w:rFonts w:hint="default" w:ascii="仿宋_GB2312" w:hAnsi="仿宋_GB2312" w:eastAsia="仿宋_GB2312"/>
                <w:b w:val="0"/>
                <w:sz w:val="18"/>
                <w:lang w:val="en-US" w:eastAsia="zh-CN"/>
              </w:rPr>
            </w:pPr>
            <w:r>
              <w:rPr>
                <w:rFonts w:hint="eastAsia" w:ascii="仿宋_GB2312" w:hAnsi="仿宋_GB2312" w:eastAsia="仿宋_GB2312"/>
                <w:b w:val="0"/>
                <w:sz w:val="18"/>
                <w:lang w:val="en-US" w:eastAsia="zh-CN"/>
              </w:rPr>
              <w:t>1分</w:t>
            </w:r>
          </w:p>
        </w:tc>
      </w:tr>
      <w:tr w14:paraId="06F7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0370115">
            <w:pPr>
              <w:spacing w:after="0" w:line="240" w:lineRule="auto"/>
              <w:jc w:val="center"/>
            </w:pPr>
            <w:r>
              <w:rPr>
                <w:rFonts w:ascii="仿宋_GB2312" w:hAnsi="仿宋_GB2312" w:eastAsia="仿宋_GB2312"/>
                <w:b w:val="0"/>
                <w:sz w:val="18"/>
              </w:rPr>
              <w:t>2</w:t>
            </w:r>
          </w:p>
        </w:tc>
        <w:tc>
          <w:tcPr>
            <w:tcW w:w="10340" w:type="dxa"/>
            <w:vAlign w:val="center"/>
          </w:tcPr>
          <w:p w14:paraId="6336F2EE">
            <w:pPr>
              <w:spacing w:after="0" w:line="240" w:lineRule="auto"/>
            </w:pPr>
            <w:r>
              <w:rPr>
                <w:rFonts w:ascii="仿宋_GB2312" w:hAnsi="仿宋_GB2312" w:eastAsia="仿宋_GB2312"/>
                <w:b w:val="0"/>
                <w:sz w:val="18"/>
              </w:rPr>
              <w:t>推广无接触智能厨卫设施，搭配感应水龙头、智能马桶、语音控制厨电，减少细菌接触传播。</w:t>
            </w:r>
          </w:p>
        </w:tc>
        <w:tc>
          <w:tcPr>
            <w:tcW w:w="1619" w:type="dxa"/>
            <w:vAlign w:val="center"/>
          </w:tcPr>
          <w:p w14:paraId="6D0D544A">
            <w:pPr>
              <w:spacing w:after="0" w:line="240" w:lineRule="auto"/>
              <w:jc w:val="center"/>
            </w:pPr>
            <w:r>
              <w:rPr>
                <w:rFonts w:ascii="仿宋_GB2312" w:hAnsi="仿宋_GB2312" w:eastAsia="仿宋_GB2312"/>
                <w:b w:val="0"/>
                <w:sz w:val="18"/>
              </w:rPr>
              <w:t>□符合 □不符合</w:t>
            </w:r>
          </w:p>
        </w:tc>
        <w:tc>
          <w:tcPr>
            <w:tcW w:w="1761" w:type="dxa"/>
            <w:vAlign w:val="center"/>
          </w:tcPr>
          <w:p w14:paraId="635E7350">
            <w:pPr>
              <w:spacing w:after="0" w:line="240" w:lineRule="auto"/>
              <w:jc w:val="center"/>
              <w:rPr>
                <w:rFonts w:ascii="仿宋_GB2312" w:hAnsi="仿宋_GB2312" w:eastAsia="仿宋_GB2312"/>
                <w:b w:val="0"/>
                <w:sz w:val="18"/>
              </w:rPr>
            </w:pPr>
            <w:r>
              <w:rPr>
                <w:rFonts w:hint="eastAsia" w:ascii="仿宋_GB2312" w:hAnsi="仿宋_GB2312" w:eastAsia="仿宋_GB2312"/>
                <w:b w:val="0"/>
                <w:sz w:val="18"/>
                <w:lang w:val="en-US" w:eastAsia="zh-CN"/>
              </w:rPr>
              <w:t>1分</w:t>
            </w:r>
          </w:p>
        </w:tc>
      </w:tr>
    </w:tbl>
    <w:p w14:paraId="03489491"/>
    <w:p w14:paraId="6DC18360">
      <w:pPr>
        <w:rPr>
          <w:rFonts w:ascii="黑体" w:hAnsi="黑体" w:eastAsia="黑体"/>
          <w:b/>
          <w:sz w:val="28"/>
          <w:szCs w:val="28"/>
        </w:rPr>
      </w:pPr>
      <w:r>
        <w:rPr>
          <w:rFonts w:ascii="黑体" w:hAnsi="黑体" w:eastAsia="黑体"/>
          <w:b/>
          <w:sz w:val="28"/>
          <w:szCs w:val="28"/>
        </w:rPr>
        <w:t>三、绿色低碳</w:t>
      </w:r>
    </w:p>
    <w:p w14:paraId="268B1135">
      <w:pPr>
        <w:rPr>
          <w:rFonts w:ascii="楷体_GB2312" w:hAnsi="楷体_GB2312" w:eastAsia="楷体_GB2312"/>
          <w:b/>
          <w:bCs w:val="0"/>
          <w:sz w:val="28"/>
          <w:szCs w:val="28"/>
        </w:rPr>
      </w:pPr>
      <w:r>
        <w:rPr>
          <w:rFonts w:ascii="楷体_GB2312" w:hAnsi="楷体_GB2312" w:eastAsia="楷体_GB2312"/>
          <w:b/>
          <w:bCs w:val="0"/>
          <w:sz w:val="28"/>
          <w:szCs w:val="28"/>
        </w:rPr>
        <w:t>（一）控制项（共8条）</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0340"/>
        <w:gridCol w:w="1619"/>
        <w:gridCol w:w="1761"/>
      </w:tblGrid>
      <w:tr w14:paraId="0DBF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2F2F2"/>
            <w:vAlign w:val="center"/>
          </w:tcPr>
          <w:p w14:paraId="424E6D31">
            <w:pPr>
              <w:spacing w:after="0" w:line="240" w:lineRule="auto"/>
              <w:jc w:val="center"/>
              <w:rPr>
                <w:rFonts w:ascii="黑体" w:hAnsi="黑体" w:eastAsia="黑体"/>
                <w:b/>
                <w:sz w:val="24"/>
                <w:szCs w:val="24"/>
              </w:rPr>
            </w:pPr>
            <w:r>
              <w:rPr>
                <w:rFonts w:ascii="黑体" w:hAnsi="黑体" w:eastAsia="黑体"/>
                <w:b/>
                <w:sz w:val="24"/>
                <w:szCs w:val="24"/>
              </w:rPr>
              <w:t>序号</w:t>
            </w:r>
          </w:p>
        </w:tc>
        <w:tc>
          <w:tcPr>
            <w:tcW w:w="10340" w:type="dxa"/>
            <w:shd w:val="clear" w:color="auto" w:fill="F2F2F2"/>
            <w:vAlign w:val="center"/>
          </w:tcPr>
          <w:p w14:paraId="13F93348">
            <w:pPr>
              <w:spacing w:after="0" w:line="240" w:lineRule="auto"/>
              <w:jc w:val="center"/>
              <w:rPr>
                <w:rFonts w:ascii="黑体" w:hAnsi="黑体" w:eastAsia="黑体"/>
                <w:b/>
                <w:sz w:val="24"/>
                <w:szCs w:val="24"/>
              </w:rPr>
            </w:pPr>
            <w:r>
              <w:rPr>
                <w:rFonts w:ascii="黑体" w:hAnsi="黑体" w:eastAsia="黑体"/>
                <w:b/>
                <w:sz w:val="24"/>
                <w:szCs w:val="24"/>
              </w:rPr>
              <w:t>控制项内容</w:t>
            </w:r>
          </w:p>
        </w:tc>
        <w:tc>
          <w:tcPr>
            <w:tcW w:w="1619" w:type="dxa"/>
            <w:shd w:val="clear" w:color="auto" w:fill="F2F2F2"/>
            <w:vAlign w:val="center"/>
          </w:tcPr>
          <w:p w14:paraId="7D7F7C6A">
            <w:pPr>
              <w:spacing w:after="0" w:line="240" w:lineRule="auto"/>
              <w:jc w:val="center"/>
              <w:rPr>
                <w:rFonts w:ascii="黑体" w:hAnsi="黑体" w:eastAsia="黑体"/>
                <w:b/>
                <w:sz w:val="24"/>
                <w:szCs w:val="24"/>
              </w:rPr>
            </w:pPr>
            <w:r>
              <w:rPr>
                <w:rFonts w:ascii="黑体" w:hAnsi="黑体" w:eastAsia="黑体"/>
                <w:b/>
                <w:sz w:val="24"/>
                <w:szCs w:val="24"/>
              </w:rPr>
              <w:t>自查结果</w:t>
            </w:r>
          </w:p>
        </w:tc>
        <w:tc>
          <w:tcPr>
            <w:tcW w:w="1761" w:type="dxa"/>
            <w:shd w:val="clear" w:color="auto" w:fill="F2F2F2"/>
            <w:vAlign w:val="center"/>
          </w:tcPr>
          <w:p w14:paraId="2D37AFC6">
            <w:pPr>
              <w:spacing w:after="0" w:line="240" w:lineRule="auto"/>
              <w:jc w:val="center"/>
              <w:rPr>
                <w:rFonts w:ascii="黑体" w:hAnsi="黑体" w:eastAsia="黑体"/>
                <w:b/>
                <w:sz w:val="24"/>
                <w:szCs w:val="24"/>
              </w:rPr>
            </w:pPr>
            <w:r>
              <w:rPr>
                <w:rFonts w:ascii="黑体" w:hAnsi="黑体" w:eastAsia="黑体"/>
                <w:b/>
                <w:sz w:val="24"/>
                <w:szCs w:val="24"/>
              </w:rPr>
              <w:t>备注</w:t>
            </w:r>
          </w:p>
        </w:tc>
      </w:tr>
      <w:tr w14:paraId="504E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9869DF5">
            <w:pPr>
              <w:spacing w:after="0" w:line="240" w:lineRule="auto"/>
              <w:jc w:val="center"/>
            </w:pPr>
            <w:r>
              <w:rPr>
                <w:rFonts w:ascii="仿宋_GB2312" w:hAnsi="仿宋_GB2312" w:eastAsia="仿宋_GB2312"/>
                <w:b w:val="0"/>
                <w:sz w:val="18"/>
              </w:rPr>
              <w:t>1</w:t>
            </w:r>
          </w:p>
        </w:tc>
        <w:tc>
          <w:tcPr>
            <w:tcW w:w="10340" w:type="dxa"/>
            <w:vAlign w:val="center"/>
          </w:tcPr>
          <w:p w14:paraId="467327FC">
            <w:pPr>
              <w:spacing w:after="0" w:line="240" w:lineRule="auto"/>
            </w:pPr>
            <w:r>
              <w:rPr>
                <w:rFonts w:ascii="仿宋_GB2312" w:hAnsi="仿宋_GB2312" w:eastAsia="仿宋_GB2312"/>
                <w:b w:val="0"/>
                <w:sz w:val="18"/>
              </w:rPr>
              <w:t>采用全装修交付时，应达到现行国家标准《绿色建筑评价标准》GB/T 50378一星级标准。</w:t>
            </w:r>
          </w:p>
        </w:tc>
        <w:tc>
          <w:tcPr>
            <w:tcW w:w="1619" w:type="dxa"/>
            <w:vAlign w:val="center"/>
          </w:tcPr>
          <w:p w14:paraId="21CED5BE">
            <w:pPr>
              <w:spacing w:after="0" w:line="240" w:lineRule="auto"/>
              <w:jc w:val="center"/>
            </w:pPr>
            <w:r>
              <w:rPr>
                <w:rFonts w:ascii="仿宋_GB2312" w:hAnsi="仿宋_GB2312" w:eastAsia="仿宋_GB2312"/>
                <w:b w:val="0"/>
                <w:sz w:val="18"/>
              </w:rPr>
              <w:t>□符合 □不符合</w:t>
            </w:r>
          </w:p>
        </w:tc>
        <w:tc>
          <w:tcPr>
            <w:tcW w:w="1761" w:type="dxa"/>
            <w:vAlign w:val="center"/>
          </w:tcPr>
          <w:p w14:paraId="0A9D2176">
            <w:pPr>
              <w:spacing w:after="0" w:line="240" w:lineRule="auto"/>
            </w:pPr>
          </w:p>
        </w:tc>
      </w:tr>
      <w:tr w14:paraId="76E0B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5B00364">
            <w:pPr>
              <w:spacing w:after="0" w:line="240" w:lineRule="auto"/>
              <w:jc w:val="center"/>
            </w:pPr>
            <w:r>
              <w:rPr>
                <w:rFonts w:ascii="仿宋_GB2312" w:hAnsi="仿宋_GB2312" w:eastAsia="仿宋_GB2312"/>
                <w:b w:val="0"/>
                <w:sz w:val="18"/>
              </w:rPr>
              <w:t>2</w:t>
            </w:r>
          </w:p>
        </w:tc>
        <w:tc>
          <w:tcPr>
            <w:tcW w:w="10340" w:type="dxa"/>
            <w:vAlign w:val="center"/>
          </w:tcPr>
          <w:p w14:paraId="14AFECA8">
            <w:pPr>
              <w:spacing w:after="0" w:line="240" w:lineRule="auto"/>
            </w:pPr>
            <w:r>
              <w:rPr>
                <w:rFonts w:ascii="仿宋_GB2312" w:hAnsi="仿宋_GB2312" w:eastAsia="仿宋_GB2312"/>
                <w:b w:val="0"/>
                <w:sz w:val="18"/>
              </w:rPr>
              <w:t>采用毛坯交付时，其他方面应达到现行国家标准《绿色建筑评价标准》GB/T 50378一星级及以上标准。</w:t>
            </w:r>
          </w:p>
        </w:tc>
        <w:tc>
          <w:tcPr>
            <w:tcW w:w="1619" w:type="dxa"/>
            <w:vAlign w:val="center"/>
          </w:tcPr>
          <w:p w14:paraId="020FD2D1">
            <w:pPr>
              <w:spacing w:after="0" w:line="240" w:lineRule="auto"/>
              <w:jc w:val="center"/>
            </w:pPr>
            <w:r>
              <w:rPr>
                <w:rFonts w:ascii="仿宋_GB2312" w:hAnsi="仿宋_GB2312" w:eastAsia="仿宋_GB2312"/>
                <w:b w:val="0"/>
                <w:sz w:val="18"/>
              </w:rPr>
              <w:t>□符合 □不符合</w:t>
            </w:r>
          </w:p>
        </w:tc>
        <w:tc>
          <w:tcPr>
            <w:tcW w:w="1761" w:type="dxa"/>
            <w:vAlign w:val="center"/>
          </w:tcPr>
          <w:p w14:paraId="7217F385">
            <w:pPr>
              <w:spacing w:after="0" w:line="240" w:lineRule="auto"/>
            </w:pPr>
          </w:p>
        </w:tc>
      </w:tr>
      <w:tr w14:paraId="23D1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369C76D">
            <w:pPr>
              <w:spacing w:after="0" w:line="240" w:lineRule="auto"/>
              <w:jc w:val="center"/>
            </w:pPr>
            <w:r>
              <w:rPr>
                <w:rFonts w:ascii="仿宋_GB2312" w:hAnsi="仿宋_GB2312" w:eastAsia="仿宋_GB2312"/>
                <w:b w:val="0"/>
                <w:sz w:val="18"/>
              </w:rPr>
              <w:t>3</w:t>
            </w:r>
          </w:p>
        </w:tc>
        <w:tc>
          <w:tcPr>
            <w:tcW w:w="10340" w:type="dxa"/>
            <w:vAlign w:val="center"/>
          </w:tcPr>
          <w:p w14:paraId="183BF3B0">
            <w:pPr>
              <w:spacing w:after="0" w:line="240" w:lineRule="auto"/>
            </w:pPr>
            <w:r>
              <w:rPr>
                <w:rFonts w:ascii="仿宋_GB2312" w:hAnsi="仿宋_GB2312" w:eastAsia="仿宋_GB2312"/>
                <w:b w:val="0"/>
                <w:sz w:val="18"/>
              </w:rPr>
              <w:t>活动配件应选用长寿命产品，并考虑部品组合的同寿命性；不同使用寿命的部品组合时，应采用便于分别拆换、更新和升级的构造。</w:t>
            </w:r>
          </w:p>
        </w:tc>
        <w:tc>
          <w:tcPr>
            <w:tcW w:w="1619" w:type="dxa"/>
            <w:vAlign w:val="center"/>
          </w:tcPr>
          <w:p w14:paraId="050B1370">
            <w:pPr>
              <w:spacing w:after="0" w:line="240" w:lineRule="auto"/>
              <w:jc w:val="center"/>
            </w:pPr>
            <w:r>
              <w:rPr>
                <w:rFonts w:ascii="仿宋_GB2312" w:hAnsi="仿宋_GB2312" w:eastAsia="仿宋_GB2312"/>
                <w:b w:val="0"/>
                <w:sz w:val="18"/>
              </w:rPr>
              <w:t>□符合 □不符合</w:t>
            </w:r>
          </w:p>
        </w:tc>
        <w:tc>
          <w:tcPr>
            <w:tcW w:w="1761" w:type="dxa"/>
            <w:vAlign w:val="center"/>
          </w:tcPr>
          <w:p w14:paraId="5F9C7F8B">
            <w:pPr>
              <w:spacing w:after="0" w:line="240" w:lineRule="auto"/>
            </w:pPr>
          </w:p>
        </w:tc>
      </w:tr>
      <w:tr w14:paraId="3C10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5F1E287">
            <w:pPr>
              <w:spacing w:after="0" w:line="240" w:lineRule="auto"/>
              <w:jc w:val="center"/>
            </w:pPr>
            <w:r>
              <w:rPr>
                <w:rFonts w:ascii="仿宋_GB2312" w:hAnsi="仿宋_GB2312" w:eastAsia="仿宋_GB2312"/>
                <w:b w:val="0"/>
                <w:sz w:val="18"/>
              </w:rPr>
              <w:t>4</w:t>
            </w:r>
          </w:p>
        </w:tc>
        <w:tc>
          <w:tcPr>
            <w:tcW w:w="10340" w:type="dxa"/>
            <w:vAlign w:val="center"/>
          </w:tcPr>
          <w:p w14:paraId="40D45784">
            <w:pPr>
              <w:spacing w:after="0" w:line="240" w:lineRule="auto"/>
            </w:pPr>
            <w:r>
              <w:rPr>
                <w:rFonts w:ascii="仿宋_GB2312" w:hAnsi="仿宋_GB2312" w:eastAsia="仿宋_GB2312"/>
                <w:b w:val="0"/>
                <w:sz w:val="18"/>
              </w:rPr>
              <w:t>应设置太阳能热水系统。</w:t>
            </w:r>
          </w:p>
        </w:tc>
        <w:tc>
          <w:tcPr>
            <w:tcW w:w="1619" w:type="dxa"/>
            <w:vAlign w:val="center"/>
          </w:tcPr>
          <w:p w14:paraId="4807C75F">
            <w:pPr>
              <w:spacing w:after="0" w:line="240" w:lineRule="auto"/>
              <w:jc w:val="center"/>
            </w:pPr>
            <w:r>
              <w:rPr>
                <w:rFonts w:ascii="仿宋_GB2312" w:hAnsi="仿宋_GB2312" w:eastAsia="仿宋_GB2312"/>
                <w:b w:val="0"/>
                <w:sz w:val="18"/>
              </w:rPr>
              <w:t>□符合 □不符合</w:t>
            </w:r>
          </w:p>
        </w:tc>
        <w:tc>
          <w:tcPr>
            <w:tcW w:w="1761" w:type="dxa"/>
            <w:vAlign w:val="center"/>
          </w:tcPr>
          <w:p w14:paraId="2B3DD6CD">
            <w:pPr>
              <w:spacing w:after="0" w:line="240" w:lineRule="auto"/>
            </w:pPr>
          </w:p>
        </w:tc>
      </w:tr>
      <w:tr w14:paraId="627A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10B1B10">
            <w:pPr>
              <w:spacing w:after="0" w:line="240" w:lineRule="auto"/>
              <w:jc w:val="center"/>
            </w:pPr>
            <w:r>
              <w:rPr>
                <w:rFonts w:ascii="仿宋_GB2312" w:hAnsi="仿宋_GB2312" w:eastAsia="仿宋_GB2312"/>
                <w:b w:val="0"/>
                <w:sz w:val="18"/>
              </w:rPr>
              <w:t>5</w:t>
            </w:r>
          </w:p>
        </w:tc>
        <w:tc>
          <w:tcPr>
            <w:tcW w:w="10340" w:type="dxa"/>
            <w:vAlign w:val="center"/>
          </w:tcPr>
          <w:p w14:paraId="2CD73390">
            <w:pPr>
              <w:spacing w:after="0" w:line="240" w:lineRule="auto"/>
            </w:pPr>
            <w:r>
              <w:rPr>
                <w:rFonts w:ascii="仿宋_GB2312" w:hAnsi="仿宋_GB2312" w:eastAsia="仿宋_GB2312"/>
                <w:b w:val="0"/>
                <w:sz w:val="18"/>
              </w:rPr>
              <w:t>按照现行国家标准《建筑与市政工程绿色施工评价标准》GB/T 50640中的优良级别，明确项目绿色施工关键指标。</w:t>
            </w:r>
          </w:p>
        </w:tc>
        <w:tc>
          <w:tcPr>
            <w:tcW w:w="1619" w:type="dxa"/>
            <w:vAlign w:val="center"/>
          </w:tcPr>
          <w:p w14:paraId="5C75583F">
            <w:pPr>
              <w:spacing w:after="0" w:line="240" w:lineRule="auto"/>
              <w:jc w:val="center"/>
            </w:pPr>
            <w:r>
              <w:rPr>
                <w:rFonts w:ascii="仿宋_GB2312" w:hAnsi="仿宋_GB2312" w:eastAsia="仿宋_GB2312"/>
                <w:b w:val="0"/>
                <w:sz w:val="18"/>
              </w:rPr>
              <w:t>□符合 □不符合</w:t>
            </w:r>
          </w:p>
        </w:tc>
        <w:tc>
          <w:tcPr>
            <w:tcW w:w="1761" w:type="dxa"/>
            <w:vAlign w:val="center"/>
          </w:tcPr>
          <w:p w14:paraId="142C6687">
            <w:pPr>
              <w:spacing w:after="0" w:line="240" w:lineRule="auto"/>
              <w:jc w:val="center"/>
            </w:pPr>
            <w:r>
              <w:rPr>
                <w:rFonts w:ascii="仿宋_GB2312" w:hAnsi="仿宋_GB2312" w:eastAsia="仿宋_GB2312"/>
                <w:b w:val="0"/>
                <w:sz w:val="18"/>
              </w:rPr>
              <w:t>运行评价</w:t>
            </w:r>
          </w:p>
        </w:tc>
      </w:tr>
      <w:tr w14:paraId="0536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5CDF155">
            <w:pPr>
              <w:spacing w:after="0" w:line="240" w:lineRule="auto"/>
              <w:jc w:val="center"/>
            </w:pPr>
            <w:r>
              <w:rPr>
                <w:rFonts w:ascii="仿宋_GB2312" w:hAnsi="仿宋_GB2312" w:eastAsia="仿宋_GB2312"/>
                <w:b w:val="0"/>
                <w:sz w:val="18"/>
              </w:rPr>
              <w:t>6</w:t>
            </w:r>
          </w:p>
        </w:tc>
        <w:tc>
          <w:tcPr>
            <w:tcW w:w="10340" w:type="dxa"/>
            <w:vAlign w:val="center"/>
          </w:tcPr>
          <w:p w14:paraId="54C679EF">
            <w:pPr>
              <w:spacing w:after="0" w:line="240" w:lineRule="auto"/>
            </w:pPr>
            <w:r>
              <w:rPr>
                <w:rFonts w:ascii="仿宋_GB2312" w:hAnsi="仿宋_GB2312" w:eastAsia="仿宋_GB2312"/>
                <w:b w:val="0"/>
                <w:sz w:val="18"/>
              </w:rPr>
              <w:t>施工现场采用扬尘智能监测、自动喷淋、高空垃圾封闭清运等扬尘治理技术，施工场界空气质量指数PM2.5、PM10小时浓度不应超过同时段所属县市区对应平均浓度。</w:t>
            </w:r>
          </w:p>
        </w:tc>
        <w:tc>
          <w:tcPr>
            <w:tcW w:w="1619" w:type="dxa"/>
            <w:vAlign w:val="center"/>
          </w:tcPr>
          <w:p w14:paraId="788ACE06">
            <w:pPr>
              <w:spacing w:after="0" w:line="240" w:lineRule="auto"/>
              <w:jc w:val="center"/>
            </w:pPr>
            <w:r>
              <w:rPr>
                <w:rFonts w:ascii="仿宋_GB2312" w:hAnsi="仿宋_GB2312" w:eastAsia="仿宋_GB2312"/>
                <w:b w:val="0"/>
                <w:sz w:val="18"/>
              </w:rPr>
              <w:t>□符合 □不符合</w:t>
            </w:r>
          </w:p>
        </w:tc>
        <w:tc>
          <w:tcPr>
            <w:tcW w:w="1761" w:type="dxa"/>
            <w:vAlign w:val="center"/>
          </w:tcPr>
          <w:p w14:paraId="2620651E">
            <w:pPr>
              <w:spacing w:after="0" w:line="240" w:lineRule="auto"/>
              <w:jc w:val="center"/>
            </w:pPr>
            <w:r>
              <w:rPr>
                <w:rFonts w:ascii="仿宋_GB2312" w:hAnsi="仿宋_GB2312" w:eastAsia="仿宋_GB2312"/>
                <w:b w:val="0"/>
                <w:sz w:val="18"/>
              </w:rPr>
              <w:t>运行评价</w:t>
            </w:r>
          </w:p>
        </w:tc>
      </w:tr>
      <w:tr w14:paraId="2E3B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DB62288">
            <w:pPr>
              <w:spacing w:after="0" w:line="240" w:lineRule="auto"/>
              <w:jc w:val="center"/>
            </w:pPr>
            <w:r>
              <w:rPr>
                <w:rFonts w:ascii="仿宋_GB2312" w:hAnsi="仿宋_GB2312" w:eastAsia="仿宋_GB2312"/>
                <w:b w:val="0"/>
                <w:sz w:val="18"/>
              </w:rPr>
              <w:t>7</w:t>
            </w:r>
          </w:p>
        </w:tc>
        <w:tc>
          <w:tcPr>
            <w:tcW w:w="10340" w:type="dxa"/>
            <w:vAlign w:val="center"/>
          </w:tcPr>
          <w:p w14:paraId="328CCF7C">
            <w:pPr>
              <w:spacing w:after="0" w:line="240" w:lineRule="auto"/>
            </w:pPr>
            <w:r>
              <w:rPr>
                <w:rFonts w:ascii="仿宋_GB2312" w:hAnsi="仿宋_GB2312" w:eastAsia="仿宋_GB2312"/>
                <w:b w:val="0"/>
                <w:sz w:val="18"/>
              </w:rPr>
              <w:t>分类收集、堆放临时材料及固体废弃物，建材包装物回收率达到100%；选用装配式、模块化临时设施（办公生活用房、围挡等），提高临时设施重复利用率。</w:t>
            </w:r>
          </w:p>
        </w:tc>
        <w:tc>
          <w:tcPr>
            <w:tcW w:w="1619" w:type="dxa"/>
            <w:vAlign w:val="center"/>
          </w:tcPr>
          <w:p w14:paraId="10F9B7BA">
            <w:pPr>
              <w:spacing w:after="0" w:line="240" w:lineRule="auto"/>
              <w:jc w:val="center"/>
            </w:pPr>
            <w:r>
              <w:rPr>
                <w:rFonts w:ascii="仿宋_GB2312" w:hAnsi="仿宋_GB2312" w:eastAsia="仿宋_GB2312"/>
                <w:b w:val="0"/>
                <w:sz w:val="18"/>
              </w:rPr>
              <w:t>□符合 □不符合</w:t>
            </w:r>
          </w:p>
        </w:tc>
        <w:tc>
          <w:tcPr>
            <w:tcW w:w="1761" w:type="dxa"/>
            <w:vAlign w:val="center"/>
          </w:tcPr>
          <w:p w14:paraId="3F577C0F">
            <w:pPr>
              <w:spacing w:after="0" w:line="240" w:lineRule="auto"/>
              <w:jc w:val="center"/>
            </w:pPr>
            <w:r>
              <w:rPr>
                <w:rFonts w:ascii="仿宋_GB2312" w:hAnsi="仿宋_GB2312" w:eastAsia="仿宋_GB2312"/>
                <w:b w:val="0"/>
                <w:sz w:val="18"/>
              </w:rPr>
              <w:t>运行评价</w:t>
            </w:r>
          </w:p>
        </w:tc>
      </w:tr>
      <w:tr w14:paraId="0B498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3F63BAB">
            <w:pPr>
              <w:spacing w:after="0" w:line="240" w:lineRule="auto"/>
              <w:jc w:val="center"/>
            </w:pPr>
            <w:r>
              <w:rPr>
                <w:rFonts w:ascii="仿宋_GB2312" w:hAnsi="仿宋_GB2312" w:eastAsia="仿宋_GB2312"/>
                <w:b w:val="0"/>
                <w:sz w:val="18"/>
              </w:rPr>
              <w:t>8</w:t>
            </w:r>
          </w:p>
        </w:tc>
        <w:tc>
          <w:tcPr>
            <w:tcW w:w="10340" w:type="dxa"/>
            <w:vAlign w:val="center"/>
          </w:tcPr>
          <w:p w14:paraId="4E2B6194">
            <w:pPr>
              <w:spacing w:after="0" w:line="240" w:lineRule="auto"/>
            </w:pPr>
            <w:r>
              <w:rPr>
                <w:rFonts w:ascii="仿宋_GB2312" w:hAnsi="仿宋_GB2312" w:eastAsia="仿宋_GB2312"/>
                <w:b w:val="0"/>
                <w:sz w:val="18"/>
              </w:rPr>
              <w:t>单独安装公区用水计量表，物业每月公示用水量、水费金额及分摊明细，接受业主监督；排查异常高水费情况（漏水、盗用等）。</w:t>
            </w:r>
          </w:p>
        </w:tc>
        <w:tc>
          <w:tcPr>
            <w:tcW w:w="1619" w:type="dxa"/>
            <w:vAlign w:val="center"/>
          </w:tcPr>
          <w:p w14:paraId="3AC1AAA0">
            <w:pPr>
              <w:spacing w:after="0" w:line="240" w:lineRule="auto"/>
              <w:jc w:val="center"/>
            </w:pPr>
            <w:r>
              <w:rPr>
                <w:rFonts w:ascii="仿宋_GB2312" w:hAnsi="仿宋_GB2312" w:eastAsia="仿宋_GB2312"/>
                <w:b w:val="0"/>
                <w:sz w:val="18"/>
              </w:rPr>
              <w:t>□符合 □不符合</w:t>
            </w:r>
          </w:p>
        </w:tc>
        <w:tc>
          <w:tcPr>
            <w:tcW w:w="1761" w:type="dxa"/>
            <w:vAlign w:val="center"/>
          </w:tcPr>
          <w:p w14:paraId="7FF041EA">
            <w:pPr>
              <w:spacing w:after="0" w:line="240" w:lineRule="auto"/>
              <w:jc w:val="center"/>
            </w:pPr>
            <w:r>
              <w:rPr>
                <w:rFonts w:ascii="仿宋_GB2312" w:hAnsi="仿宋_GB2312" w:eastAsia="仿宋_GB2312"/>
                <w:b w:val="0"/>
                <w:sz w:val="18"/>
              </w:rPr>
              <w:t>运行评价</w:t>
            </w:r>
          </w:p>
        </w:tc>
      </w:tr>
    </w:tbl>
    <w:p w14:paraId="0E4C207C">
      <w:pPr>
        <w:rPr>
          <w:rFonts w:ascii="楷体_GB2312" w:hAnsi="楷体_GB2312" w:eastAsia="楷体_GB2312"/>
          <w:b/>
          <w:bCs w:val="0"/>
          <w:sz w:val="28"/>
          <w:szCs w:val="28"/>
        </w:rPr>
      </w:pPr>
      <w:r>
        <w:rPr>
          <w:rFonts w:ascii="楷体_GB2312" w:hAnsi="楷体_GB2312" w:eastAsia="楷体_GB2312"/>
          <w:b/>
          <w:bCs w:val="0"/>
          <w:sz w:val="28"/>
          <w:szCs w:val="28"/>
        </w:rPr>
        <w:t>（二）评分项（共24条）</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0340"/>
        <w:gridCol w:w="1619"/>
        <w:gridCol w:w="1761"/>
      </w:tblGrid>
      <w:tr w14:paraId="2BDA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2F2F2"/>
            <w:vAlign w:val="center"/>
          </w:tcPr>
          <w:p w14:paraId="69584DFA">
            <w:pPr>
              <w:spacing w:after="0" w:line="240" w:lineRule="auto"/>
              <w:jc w:val="center"/>
              <w:rPr>
                <w:rFonts w:ascii="黑体" w:hAnsi="黑体" w:eastAsia="黑体"/>
                <w:b/>
                <w:sz w:val="24"/>
                <w:szCs w:val="24"/>
              </w:rPr>
            </w:pPr>
            <w:r>
              <w:rPr>
                <w:rFonts w:ascii="黑体" w:hAnsi="黑体" w:eastAsia="黑体"/>
                <w:b/>
                <w:sz w:val="24"/>
                <w:szCs w:val="24"/>
              </w:rPr>
              <w:t>序号</w:t>
            </w:r>
          </w:p>
        </w:tc>
        <w:tc>
          <w:tcPr>
            <w:tcW w:w="10340" w:type="dxa"/>
            <w:shd w:val="clear" w:color="auto" w:fill="F2F2F2"/>
            <w:vAlign w:val="center"/>
          </w:tcPr>
          <w:p w14:paraId="50D3C2F7">
            <w:pPr>
              <w:spacing w:after="0" w:line="240" w:lineRule="auto"/>
              <w:jc w:val="center"/>
              <w:rPr>
                <w:rFonts w:ascii="黑体" w:hAnsi="黑体" w:eastAsia="黑体"/>
                <w:b/>
                <w:sz w:val="24"/>
                <w:szCs w:val="24"/>
              </w:rPr>
            </w:pPr>
            <w:r>
              <w:rPr>
                <w:rFonts w:ascii="黑体" w:hAnsi="黑体" w:eastAsia="黑体"/>
                <w:b/>
                <w:sz w:val="24"/>
                <w:szCs w:val="24"/>
              </w:rPr>
              <w:t>评分项内容</w:t>
            </w:r>
          </w:p>
        </w:tc>
        <w:tc>
          <w:tcPr>
            <w:tcW w:w="1619" w:type="dxa"/>
            <w:shd w:val="clear" w:color="auto" w:fill="F2F2F2"/>
            <w:vAlign w:val="center"/>
          </w:tcPr>
          <w:p w14:paraId="185A410B">
            <w:pPr>
              <w:spacing w:after="0" w:line="240" w:lineRule="auto"/>
              <w:jc w:val="center"/>
              <w:rPr>
                <w:rFonts w:ascii="黑体" w:hAnsi="黑体" w:eastAsia="黑体"/>
                <w:b/>
                <w:sz w:val="24"/>
                <w:szCs w:val="24"/>
              </w:rPr>
            </w:pPr>
            <w:r>
              <w:rPr>
                <w:rFonts w:ascii="黑体" w:hAnsi="黑体" w:eastAsia="黑体"/>
                <w:b/>
                <w:sz w:val="24"/>
                <w:szCs w:val="24"/>
              </w:rPr>
              <w:t>自查结果</w:t>
            </w:r>
          </w:p>
        </w:tc>
        <w:tc>
          <w:tcPr>
            <w:tcW w:w="1761" w:type="dxa"/>
            <w:shd w:val="clear" w:color="auto" w:fill="F2F2F2"/>
            <w:vAlign w:val="center"/>
          </w:tcPr>
          <w:p w14:paraId="672507A8">
            <w:pPr>
              <w:spacing w:after="0" w:line="240" w:lineRule="auto"/>
              <w:jc w:val="center"/>
              <w:rPr>
                <w:rFonts w:ascii="黑体" w:hAnsi="黑体" w:eastAsia="黑体"/>
                <w:b/>
                <w:sz w:val="24"/>
                <w:szCs w:val="24"/>
              </w:rPr>
            </w:pPr>
            <w:r>
              <w:rPr>
                <w:rFonts w:ascii="黑体" w:hAnsi="黑体" w:eastAsia="黑体"/>
                <w:b/>
                <w:sz w:val="24"/>
                <w:szCs w:val="24"/>
              </w:rPr>
              <w:t>备注</w:t>
            </w:r>
          </w:p>
        </w:tc>
      </w:tr>
      <w:tr w14:paraId="12D4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B36D9D7">
            <w:pPr>
              <w:spacing w:after="0" w:line="240" w:lineRule="auto"/>
              <w:jc w:val="center"/>
            </w:pPr>
            <w:r>
              <w:rPr>
                <w:rFonts w:ascii="仿宋_GB2312" w:hAnsi="仿宋_GB2312" w:eastAsia="仿宋_GB2312"/>
                <w:b w:val="0"/>
                <w:sz w:val="18"/>
              </w:rPr>
              <w:t>1</w:t>
            </w:r>
          </w:p>
        </w:tc>
        <w:tc>
          <w:tcPr>
            <w:tcW w:w="10340" w:type="dxa"/>
            <w:vAlign w:val="center"/>
          </w:tcPr>
          <w:p w14:paraId="7536FAD3">
            <w:pPr>
              <w:spacing w:after="0" w:line="240" w:lineRule="auto"/>
              <w:rPr>
                <w:rFonts w:hint="eastAsia" w:eastAsia="仿宋_GB2312"/>
                <w:lang w:eastAsia="zh-CN"/>
              </w:rPr>
            </w:pPr>
            <w:r>
              <w:rPr>
                <w:rFonts w:ascii="仿宋_GB2312" w:hAnsi="仿宋_GB2312" w:eastAsia="仿宋_GB2312"/>
                <w:b w:val="0"/>
                <w:sz w:val="18"/>
              </w:rPr>
              <w:t>采用装配式建造方式，装配率不低于50%</w:t>
            </w:r>
            <w:r>
              <w:rPr>
                <w:rFonts w:hint="eastAsia" w:ascii="仿宋_GB2312" w:hAnsi="仿宋_GB2312" w:eastAsia="仿宋_GB2312"/>
                <w:b w:val="0"/>
                <w:sz w:val="18"/>
                <w:lang w:eastAsia="zh-CN"/>
              </w:rPr>
              <w:t>。</w:t>
            </w:r>
          </w:p>
        </w:tc>
        <w:tc>
          <w:tcPr>
            <w:tcW w:w="1619" w:type="dxa"/>
            <w:vAlign w:val="center"/>
          </w:tcPr>
          <w:p w14:paraId="6058EEB3">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0EC35B6D">
            <w:pPr>
              <w:bidi w:val="0"/>
              <w:jc w:val="both"/>
              <w:rPr>
                <w:rFonts w:hint="default" w:asciiTheme="minorHAnsi" w:hAnsiTheme="minorHAnsi" w:eastAsiaTheme="minorEastAsia" w:cstheme="minorBidi"/>
                <w:sz w:val="22"/>
                <w:szCs w:val="22"/>
                <w:lang w:val="en-US" w:eastAsia="en-US" w:bidi="ar-SA"/>
              </w:rPr>
            </w:pPr>
            <w:r>
              <w:rPr>
                <w:rFonts w:hint="eastAsia" w:ascii="仿宋_GB2312" w:hAnsi="仿宋_GB2312" w:eastAsia="仿宋_GB2312"/>
                <w:b w:val="0"/>
                <w:sz w:val="18"/>
                <w:lang w:val="en-US" w:eastAsia="zh-CN"/>
              </w:rPr>
              <w:t>满足1项3分，满足2项8分，满足</w:t>
            </w:r>
            <w:r>
              <w:rPr>
                <w:rFonts w:hint="eastAsia" w:ascii="仿宋_GB2312" w:hAnsi="仿宋_GB2312" w:eastAsia="仿宋_GB2312"/>
                <w:b w:val="0"/>
                <w:sz w:val="18"/>
                <w:lang w:val="en-US" w:eastAsia="zh"/>
              </w:rPr>
              <w:t>4</w:t>
            </w:r>
            <w:r>
              <w:rPr>
                <w:rFonts w:hint="eastAsia" w:ascii="仿宋_GB2312" w:hAnsi="仿宋_GB2312" w:eastAsia="仿宋_GB2312"/>
                <w:b w:val="0"/>
                <w:sz w:val="18"/>
                <w:lang w:val="en-US" w:eastAsia="zh-CN"/>
              </w:rPr>
              <w:t>项15分，满足5项18分</w:t>
            </w:r>
          </w:p>
        </w:tc>
      </w:tr>
      <w:tr w14:paraId="7D64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87A2C06">
            <w:pPr>
              <w:spacing w:after="0" w:line="240" w:lineRule="auto"/>
              <w:jc w:val="center"/>
            </w:pPr>
            <w:r>
              <w:rPr>
                <w:rFonts w:ascii="仿宋_GB2312" w:hAnsi="仿宋_GB2312" w:eastAsia="仿宋_GB2312"/>
                <w:b w:val="0"/>
                <w:sz w:val="18"/>
              </w:rPr>
              <w:t>2</w:t>
            </w:r>
          </w:p>
        </w:tc>
        <w:tc>
          <w:tcPr>
            <w:tcW w:w="10340" w:type="dxa"/>
            <w:vAlign w:val="center"/>
          </w:tcPr>
          <w:p w14:paraId="05F23883">
            <w:pPr>
              <w:spacing w:after="0" w:line="240" w:lineRule="auto"/>
              <w:rPr>
                <w:rFonts w:hint="eastAsia" w:eastAsia="仿宋_GB2312"/>
                <w:lang w:eastAsia="zh-CN"/>
              </w:rPr>
            </w:pPr>
            <w:r>
              <w:rPr>
                <w:rFonts w:ascii="仿宋_GB2312" w:hAnsi="仿宋_GB2312" w:eastAsia="仿宋_GB2312"/>
                <w:b w:val="0"/>
                <w:sz w:val="18"/>
              </w:rPr>
              <w:t>采用装配式内装修技术</w:t>
            </w:r>
            <w:r>
              <w:rPr>
                <w:rFonts w:hint="eastAsia" w:ascii="仿宋_GB2312" w:hAnsi="仿宋_GB2312" w:eastAsia="仿宋_GB2312"/>
                <w:b w:val="0"/>
                <w:sz w:val="18"/>
                <w:lang w:eastAsia="zh-CN"/>
              </w:rPr>
              <w:t>。</w:t>
            </w:r>
          </w:p>
        </w:tc>
        <w:tc>
          <w:tcPr>
            <w:tcW w:w="1619" w:type="dxa"/>
            <w:vAlign w:val="center"/>
          </w:tcPr>
          <w:p w14:paraId="04B3F426">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4673207">
            <w:pPr>
              <w:spacing w:after="0" w:line="240" w:lineRule="auto"/>
            </w:pPr>
          </w:p>
        </w:tc>
      </w:tr>
      <w:tr w14:paraId="1779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F33D452">
            <w:pPr>
              <w:spacing w:after="0" w:line="240" w:lineRule="auto"/>
              <w:jc w:val="center"/>
            </w:pPr>
            <w:r>
              <w:rPr>
                <w:rFonts w:ascii="仿宋_GB2312" w:hAnsi="仿宋_GB2312" w:eastAsia="仿宋_GB2312"/>
                <w:b w:val="0"/>
                <w:sz w:val="18"/>
              </w:rPr>
              <w:t>3</w:t>
            </w:r>
          </w:p>
        </w:tc>
        <w:tc>
          <w:tcPr>
            <w:tcW w:w="10340" w:type="dxa"/>
            <w:vAlign w:val="center"/>
          </w:tcPr>
          <w:p w14:paraId="2D29FA83">
            <w:pPr>
              <w:spacing w:after="0" w:line="240" w:lineRule="auto"/>
              <w:rPr>
                <w:rFonts w:hint="eastAsia" w:eastAsia="仿宋_GB2312"/>
                <w:lang w:eastAsia="zh-CN"/>
              </w:rPr>
            </w:pPr>
            <w:r>
              <w:rPr>
                <w:rFonts w:ascii="仿宋_GB2312" w:hAnsi="仿宋_GB2312" w:eastAsia="仿宋_GB2312"/>
                <w:b w:val="0"/>
                <w:sz w:val="18"/>
              </w:rPr>
              <w:t>全过程采用建筑信息模型（BIM）技术</w:t>
            </w:r>
            <w:r>
              <w:rPr>
                <w:rFonts w:hint="eastAsia" w:ascii="仿宋_GB2312" w:hAnsi="仿宋_GB2312" w:eastAsia="仿宋_GB2312"/>
                <w:b w:val="0"/>
                <w:sz w:val="18"/>
                <w:lang w:eastAsia="zh-CN"/>
              </w:rPr>
              <w:t>。</w:t>
            </w:r>
          </w:p>
        </w:tc>
        <w:tc>
          <w:tcPr>
            <w:tcW w:w="1619" w:type="dxa"/>
            <w:vAlign w:val="center"/>
          </w:tcPr>
          <w:p w14:paraId="1D803351">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5C37BC63">
            <w:pPr>
              <w:spacing w:after="0" w:line="240" w:lineRule="auto"/>
            </w:pPr>
          </w:p>
        </w:tc>
      </w:tr>
      <w:tr w14:paraId="3262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725B515">
            <w:pPr>
              <w:spacing w:after="0" w:line="240" w:lineRule="auto"/>
              <w:jc w:val="center"/>
            </w:pPr>
            <w:r>
              <w:rPr>
                <w:rFonts w:ascii="仿宋_GB2312" w:hAnsi="仿宋_GB2312" w:eastAsia="仿宋_GB2312"/>
                <w:b w:val="0"/>
                <w:sz w:val="18"/>
              </w:rPr>
              <w:t>4</w:t>
            </w:r>
          </w:p>
        </w:tc>
        <w:tc>
          <w:tcPr>
            <w:tcW w:w="10340" w:type="dxa"/>
            <w:vAlign w:val="center"/>
          </w:tcPr>
          <w:p w14:paraId="3A16217E">
            <w:pPr>
              <w:spacing w:after="0" w:line="240" w:lineRule="auto"/>
              <w:rPr>
                <w:rFonts w:hint="eastAsia" w:eastAsia="仿宋_GB2312"/>
                <w:lang w:eastAsia="zh-CN"/>
              </w:rPr>
            </w:pPr>
            <w:r>
              <w:rPr>
                <w:rFonts w:ascii="仿宋_GB2312" w:hAnsi="仿宋_GB2312" w:eastAsia="仿宋_GB2312"/>
                <w:b w:val="0"/>
                <w:sz w:val="18"/>
              </w:rPr>
              <w:t>采用外围护墙体与保温、装饰一体化技术</w:t>
            </w:r>
            <w:r>
              <w:rPr>
                <w:rFonts w:hint="eastAsia" w:ascii="仿宋_GB2312" w:hAnsi="仿宋_GB2312" w:eastAsia="仿宋_GB2312"/>
                <w:b w:val="0"/>
                <w:sz w:val="18"/>
                <w:lang w:eastAsia="zh-CN"/>
              </w:rPr>
              <w:t>。</w:t>
            </w:r>
          </w:p>
        </w:tc>
        <w:tc>
          <w:tcPr>
            <w:tcW w:w="1619" w:type="dxa"/>
            <w:vAlign w:val="center"/>
          </w:tcPr>
          <w:p w14:paraId="6BD434A0">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0A2E0806">
            <w:pPr>
              <w:spacing w:after="0" w:line="240" w:lineRule="auto"/>
            </w:pPr>
          </w:p>
        </w:tc>
      </w:tr>
      <w:tr w14:paraId="7B42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850" w:type="dxa"/>
            <w:vAlign w:val="center"/>
          </w:tcPr>
          <w:p w14:paraId="6FC21362">
            <w:pPr>
              <w:spacing w:after="0" w:line="240" w:lineRule="auto"/>
              <w:jc w:val="center"/>
            </w:pPr>
            <w:r>
              <w:rPr>
                <w:rFonts w:ascii="仿宋_GB2312" w:hAnsi="仿宋_GB2312" w:eastAsia="仿宋_GB2312"/>
                <w:b w:val="0"/>
                <w:sz w:val="18"/>
              </w:rPr>
              <w:t>5</w:t>
            </w:r>
          </w:p>
        </w:tc>
        <w:tc>
          <w:tcPr>
            <w:tcW w:w="10340" w:type="dxa"/>
            <w:vAlign w:val="center"/>
          </w:tcPr>
          <w:p w14:paraId="5779830A">
            <w:pPr>
              <w:spacing w:after="0" w:line="240" w:lineRule="auto"/>
              <w:rPr>
                <w:rFonts w:hint="eastAsia" w:eastAsia="仿宋_GB2312"/>
                <w:lang w:eastAsia="zh-CN"/>
              </w:rPr>
            </w:pPr>
            <w:r>
              <w:rPr>
                <w:rFonts w:ascii="仿宋_GB2312" w:hAnsi="仿宋_GB2312" w:eastAsia="仿宋_GB2312"/>
                <w:b w:val="0"/>
                <w:sz w:val="18"/>
              </w:rPr>
              <w:t>厨房、卫生间采用集成厨房、集成卫浴，选型、安装应与主体一体化设计，且易维修更换配件</w:t>
            </w:r>
            <w:r>
              <w:rPr>
                <w:rFonts w:hint="eastAsia" w:ascii="仿宋_GB2312" w:hAnsi="仿宋_GB2312" w:eastAsia="仿宋_GB2312"/>
                <w:b w:val="0"/>
                <w:sz w:val="18"/>
                <w:lang w:eastAsia="zh-CN"/>
              </w:rPr>
              <w:t>。</w:t>
            </w:r>
          </w:p>
        </w:tc>
        <w:tc>
          <w:tcPr>
            <w:tcW w:w="1619" w:type="dxa"/>
            <w:vAlign w:val="center"/>
          </w:tcPr>
          <w:p w14:paraId="2750E7E9">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7937EEB0">
            <w:pPr>
              <w:spacing w:after="0" w:line="240" w:lineRule="auto"/>
            </w:pPr>
          </w:p>
        </w:tc>
      </w:tr>
      <w:tr w14:paraId="4C0B8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4619C14">
            <w:pPr>
              <w:spacing w:after="0" w:line="240" w:lineRule="auto"/>
              <w:jc w:val="center"/>
            </w:pPr>
            <w:r>
              <w:rPr>
                <w:rFonts w:ascii="仿宋_GB2312" w:hAnsi="仿宋_GB2312" w:eastAsia="仿宋_GB2312"/>
                <w:b w:val="0"/>
                <w:sz w:val="18"/>
              </w:rPr>
              <w:t>6</w:t>
            </w:r>
          </w:p>
        </w:tc>
        <w:tc>
          <w:tcPr>
            <w:tcW w:w="10340" w:type="dxa"/>
            <w:vAlign w:val="center"/>
          </w:tcPr>
          <w:p w14:paraId="55EAE408">
            <w:pPr>
              <w:spacing w:after="0" w:line="240" w:lineRule="auto"/>
              <w:rPr>
                <w:rFonts w:hint="eastAsia" w:eastAsia="仿宋_GB2312"/>
                <w:lang w:eastAsia="zh-CN"/>
              </w:rPr>
            </w:pPr>
            <w:r>
              <w:rPr>
                <w:rFonts w:ascii="仿宋_GB2312" w:hAnsi="仿宋_GB2312" w:eastAsia="仿宋_GB2312"/>
                <w:b w:val="0"/>
                <w:sz w:val="18"/>
              </w:rPr>
              <w:t>技术经济条件合理时，采用空气源热泵、地热能等可再生能源供冷、供热</w:t>
            </w:r>
            <w:r>
              <w:rPr>
                <w:rFonts w:hint="eastAsia" w:ascii="仿宋_GB2312" w:hAnsi="仿宋_GB2312" w:eastAsia="仿宋_GB2312"/>
                <w:b w:val="0"/>
                <w:sz w:val="18"/>
                <w:lang w:eastAsia="zh-CN"/>
              </w:rPr>
              <w:t>。</w:t>
            </w:r>
          </w:p>
        </w:tc>
        <w:tc>
          <w:tcPr>
            <w:tcW w:w="1619" w:type="dxa"/>
            <w:vAlign w:val="center"/>
          </w:tcPr>
          <w:p w14:paraId="586AC9DB">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4D2820F5">
            <w:pPr>
              <w:spacing w:after="0" w:line="240" w:lineRule="auto"/>
            </w:pPr>
            <w:r>
              <w:rPr>
                <w:rFonts w:hint="eastAsia" w:ascii="仿宋_GB2312" w:hAnsi="仿宋_GB2312" w:eastAsia="仿宋_GB2312"/>
                <w:b w:val="0"/>
                <w:sz w:val="18"/>
                <w:lang w:val="en-US" w:eastAsia="zh-CN"/>
              </w:rPr>
              <w:t>满足1项</w:t>
            </w:r>
            <w:r>
              <w:rPr>
                <w:rFonts w:hint="eastAsia" w:ascii="仿宋_GB2312" w:hAnsi="仿宋_GB2312" w:eastAsia="仿宋_GB2312"/>
                <w:b w:val="0"/>
                <w:sz w:val="18"/>
                <w:lang w:val="en-US" w:eastAsia="zh"/>
              </w:rPr>
              <w:t>5</w:t>
            </w:r>
            <w:r>
              <w:rPr>
                <w:rFonts w:hint="eastAsia" w:ascii="仿宋_GB2312" w:hAnsi="仿宋_GB2312" w:eastAsia="仿宋_GB2312"/>
                <w:b w:val="0"/>
                <w:sz w:val="18"/>
                <w:lang w:val="en-US" w:eastAsia="zh-CN"/>
              </w:rPr>
              <w:t>分，满足2项10分</w:t>
            </w:r>
          </w:p>
        </w:tc>
      </w:tr>
      <w:tr w14:paraId="540E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328DA4E">
            <w:pPr>
              <w:spacing w:after="0" w:line="240" w:lineRule="auto"/>
              <w:jc w:val="center"/>
            </w:pPr>
            <w:r>
              <w:rPr>
                <w:rFonts w:ascii="仿宋_GB2312" w:hAnsi="仿宋_GB2312" w:eastAsia="仿宋_GB2312"/>
                <w:b w:val="0"/>
                <w:sz w:val="18"/>
              </w:rPr>
              <w:t>7</w:t>
            </w:r>
          </w:p>
        </w:tc>
        <w:tc>
          <w:tcPr>
            <w:tcW w:w="10340" w:type="dxa"/>
            <w:vAlign w:val="center"/>
          </w:tcPr>
          <w:p w14:paraId="21B3A01C">
            <w:pPr>
              <w:spacing w:after="0" w:line="240" w:lineRule="auto"/>
              <w:rPr>
                <w:rFonts w:hint="eastAsia" w:eastAsia="仿宋_GB2312"/>
                <w:lang w:eastAsia="zh-CN"/>
              </w:rPr>
            </w:pPr>
            <w:r>
              <w:rPr>
                <w:rFonts w:ascii="仿宋_GB2312" w:hAnsi="仿宋_GB2312" w:eastAsia="仿宋_GB2312"/>
                <w:b w:val="0"/>
                <w:sz w:val="18"/>
              </w:rPr>
              <w:t>居住区室外照明采用太阳能灯具、太阳能显示牌等小型独立太阳能发电产品或风光互补型产品</w:t>
            </w:r>
            <w:r>
              <w:rPr>
                <w:rFonts w:hint="eastAsia" w:ascii="仿宋_GB2312" w:hAnsi="仿宋_GB2312" w:eastAsia="仿宋_GB2312"/>
                <w:b w:val="0"/>
                <w:sz w:val="18"/>
                <w:lang w:eastAsia="zh-CN"/>
              </w:rPr>
              <w:t>。</w:t>
            </w:r>
          </w:p>
        </w:tc>
        <w:tc>
          <w:tcPr>
            <w:tcW w:w="1619" w:type="dxa"/>
            <w:vAlign w:val="center"/>
          </w:tcPr>
          <w:p w14:paraId="4AE0031F">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35B754FF">
            <w:pPr>
              <w:spacing w:after="0" w:line="240" w:lineRule="auto"/>
            </w:pPr>
          </w:p>
        </w:tc>
      </w:tr>
      <w:tr w14:paraId="62A4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3FAB88C">
            <w:pPr>
              <w:spacing w:after="0" w:line="240" w:lineRule="auto"/>
              <w:jc w:val="center"/>
            </w:pPr>
            <w:r>
              <w:rPr>
                <w:rFonts w:ascii="仿宋_GB2312" w:hAnsi="仿宋_GB2312" w:eastAsia="仿宋_GB2312"/>
                <w:b w:val="0"/>
                <w:sz w:val="18"/>
              </w:rPr>
              <w:t>8</w:t>
            </w:r>
          </w:p>
        </w:tc>
        <w:tc>
          <w:tcPr>
            <w:tcW w:w="10340" w:type="dxa"/>
            <w:vAlign w:val="center"/>
          </w:tcPr>
          <w:p w14:paraId="380FCE95">
            <w:pPr>
              <w:spacing w:after="0" w:line="240" w:lineRule="auto"/>
              <w:rPr>
                <w:rFonts w:hint="eastAsia" w:eastAsia="仿宋_GB2312"/>
                <w:lang w:eastAsia="zh-CN"/>
              </w:rPr>
            </w:pPr>
            <w:r>
              <w:rPr>
                <w:rFonts w:ascii="仿宋_GB2312" w:hAnsi="仿宋_GB2312" w:eastAsia="仿宋_GB2312"/>
                <w:b w:val="0"/>
                <w:sz w:val="18"/>
              </w:rPr>
              <w:t>采用建筑光伏一体化技术，光伏系统容量满足地上公共区域部分用电需求</w:t>
            </w:r>
            <w:r>
              <w:rPr>
                <w:rFonts w:hint="eastAsia" w:ascii="仿宋_GB2312" w:hAnsi="仿宋_GB2312" w:eastAsia="仿宋_GB2312"/>
                <w:b w:val="0"/>
                <w:sz w:val="18"/>
                <w:lang w:eastAsia="zh-CN"/>
              </w:rPr>
              <w:t>。</w:t>
            </w:r>
          </w:p>
        </w:tc>
        <w:tc>
          <w:tcPr>
            <w:tcW w:w="1619" w:type="dxa"/>
            <w:vAlign w:val="center"/>
          </w:tcPr>
          <w:p w14:paraId="6F8EBC18">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2E7B89DD">
            <w:pPr>
              <w:spacing w:after="0" w:line="240" w:lineRule="auto"/>
            </w:pPr>
          </w:p>
        </w:tc>
      </w:tr>
      <w:tr w14:paraId="1024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E645C11">
            <w:pPr>
              <w:spacing w:after="0" w:line="240" w:lineRule="auto"/>
              <w:jc w:val="center"/>
            </w:pPr>
            <w:r>
              <w:rPr>
                <w:rFonts w:ascii="仿宋_GB2312" w:hAnsi="仿宋_GB2312" w:eastAsia="仿宋_GB2312"/>
                <w:b w:val="0"/>
                <w:sz w:val="18"/>
              </w:rPr>
              <w:t>9</w:t>
            </w:r>
          </w:p>
        </w:tc>
        <w:tc>
          <w:tcPr>
            <w:tcW w:w="10340" w:type="dxa"/>
            <w:vAlign w:val="center"/>
          </w:tcPr>
          <w:p w14:paraId="45C5FDDD">
            <w:pPr>
              <w:spacing w:after="0" w:line="240" w:lineRule="auto"/>
              <w:rPr>
                <w:rFonts w:hint="eastAsia" w:eastAsia="仿宋_GB2312"/>
                <w:lang w:eastAsia="zh-CN"/>
              </w:rPr>
            </w:pPr>
            <w:r>
              <w:rPr>
                <w:rFonts w:ascii="仿宋_GB2312" w:hAnsi="仿宋_GB2312" w:eastAsia="仿宋_GB2312"/>
                <w:b w:val="0"/>
                <w:sz w:val="18"/>
              </w:rPr>
              <w:t>达到绿色建筑二星级及以上标准</w:t>
            </w:r>
            <w:r>
              <w:rPr>
                <w:rFonts w:hint="eastAsia" w:ascii="仿宋_GB2312" w:hAnsi="仿宋_GB2312" w:eastAsia="仿宋_GB2312"/>
                <w:b w:val="0"/>
                <w:sz w:val="18"/>
                <w:lang w:eastAsia="zh-CN"/>
              </w:rPr>
              <w:t>。</w:t>
            </w:r>
          </w:p>
        </w:tc>
        <w:tc>
          <w:tcPr>
            <w:tcW w:w="1619" w:type="dxa"/>
            <w:vAlign w:val="center"/>
          </w:tcPr>
          <w:p w14:paraId="61C5AD2E">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3669CD74">
            <w:pPr>
              <w:spacing w:after="0" w:line="240" w:lineRule="auto"/>
              <w:rPr>
                <w:rFonts w:hint="eastAsia" w:eastAsia="宋体"/>
                <w:lang w:eastAsia="zh-CN"/>
              </w:rPr>
            </w:pPr>
            <w:r>
              <w:rPr>
                <w:rFonts w:hint="eastAsia" w:ascii="仿宋_GB2312" w:hAnsi="仿宋_GB2312" w:eastAsia="仿宋_GB2312"/>
                <w:b w:val="0"/>
                <w:sz w:val="18"/>
                <w:lang w:val="en-US" w:eastAsia="zh-CN"/>
              </w:rPr>
              <w:t>满足1项</w:t>
            </w:r>
            <w:r>
              <w:rPr>
                <w:rFonts w:hint="eastAsia" w:ascii="仿宋_GB2312" w:hAnsi="仿宋_GB2312" w:eastAsia="仿宋_GB2312"/>
                <w:b w:val="0"/>
                <w:sz w:val="18"/>
                <w:lang w:val="en-US" w:eastAsia="zh"/>
              </w:rPr>
              <w:t>3</w:t>
            </w:r>
            <w:r>
              <w:rPr>
                <w:rFonts w:hint="eastAsia" w:ascii="仿宋_GB2312" w:hAnsi="仿宋_GB2312" w:eastAsia="仿宋_GB2312"/>
                <w:b w:val="0"/>
                <w:sz w:val="18"/>
                <w:lang w:val="en-US" w:eastAsia="zh-CN"/>
              </w:rPr>
              <w:t>分，满足2项</w:t>
            </w:r>
            <w:r>
              <w:rPr>
                <w:rFonts w:hint="eastAsia" w:ascii="仿宋_GB2312" w:hAnsi="仿宋_GB2312" w:eastAsia="仿宋_GB2312"/>
                <w:b w:val="0"/>
                <w:sz w:val="18"/>
                <w:lang w:val="en-US" w:eastAsia="zh"/>
              </w:rPr>
              <w:t>8</w:t>
            </w:r>
            <w:r>
              <w:rPr>
                <w:rFonts w:hint="eastAsia" w:ascii="仿宋_GB2312" w:hAnsi="仿宋_GB2312" w:eastAsia="仿宋_GB2312"/>
                <w:b w:val="0"/>
                <w:sz w:val="18"/>
                <w:lang w:val="en-US" w:eastAsia="zh-CN"/>
              </w:rPr>
              <w:t>分，满足3项1</w:t>
            </w:r>
            <w:r>
              <w:rPr>
                <w:rFonts w:hint="eastAsia" w:ascii="仿宋_GB2312" w:hAnsi="仿宋_GB2312" w:eastAsia="仿宋_GB2312"/>
                <w:b w:val="0"/>
                <w:sz w:val="18"/>
                <w:lang w:val="en-US" w:eastAsia="zh"/>
              </w:rPr>
              <w:t>2</w:t>
            </w:r>
            <w:r>
              <w:rPr>
                <w:rFonts w:hint="eastAsia" w:ascii="仿宋_GB2312" w:hAnsi="仿宋_GB2312" w:eastAsia="仿宋_GB2312"/>
                <w:b w:val="0"/>
                <w:sz w:val="18"/>
                <w:lang w:val="en-US" w:eastAsia="zh-CN"/>
              </w:rPr>
              <w:t>分</w:t>
            </w:r>
          </w:p>
        </w:tc>
      </w:tr>
      <w:tr w14:paraId="2100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7D163D2">
            <w:pPr>
              <w:spacing w:after="0" w:line="240" w:lineRule="auto"/>
              <w:jc w:val="center"/>
            </w:pPr>
            <w:r>
              <w:rPr>
                <w:rFonts w:ascii="仿宋_GB2312" w:hAnsi="仿宋_GB2312" w:eastAsia="仿宋_GB2312"/>
                <w:b w:val="0"/>
                <w:sz w:val="18"/>
              </w:rPr>
              <w:t>10</w:t>
            </w:r>
          </w:p>
        </w:tc>
        <w:tc>
          <w:tcPr>
            <w:tcW w:w="10340" w:type="dxa"/>
            <w:vAlign w:val="center"/>
          </w:tcPr>
          <w:p w14:paraId="452F25EC">
            <w:pPr>
              <w:spacing w:after="0" w:line="240" w:lineRule="auto"/>
              <w:rPr>
                <w:rFonts w:hint="eastAsia" w:eastAsia="仿宋_GB2312"/>
                <w:lang w:eastAsia="zh-CN"/>
              </w:rPr>
            </w:pPr>
            <w:r>
              <w:rPr>
                <w:rFonts w:ascii="仿宋_GB2312" w:hAnsi="仿宋_GB2312" w:eastAsia="仿宋_GB2312"/>
                <w:b w:val="0"/>
                <w:sz w:val="18"/>
              </w:rPr>
              <w:t>按照现行山西省地方标准《近零能耗居住建筑技术标准》DBJ04/T 459中超低能耗居住建筑的要求进行建设</w:t>
            </w:r>
            <w:r>
              <w:rPr>
                <w:rFonts w:hint="eastAsia" w:ascii="仿宋_GB2312" w:hAnsi="仿宋_GB2312" w:eastAsia="仿宋_GB2312"/>
                <w:b w:val="0"/>
                <w:sz w:val="18"/>
                <w:lang w:eastAsia="zh-CN"/>
              </w:rPr>
              <w:t>。</w:t>
            </w:r>
          </w:p>
        </w:tc>
        <w:tc>
          <w:tcPr>
            <w:tcW w:w="1619" w:type="dxa"/>
            <w:vAlign w:val="center"/>
          </w:tcPr>
          <w:p w14:paraId="0E964860">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45493E31">
            <w:pPr>
              <w:spacing w:after="0" w:line="240" w:lineRule="auto"/>
              <w:jc w:val="center"/>
            </w:pPr>
          </w:p>
        </w:tc>
      </w:tr>
      <w:tr w14:paraId="599D8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C863A3D">
            <w:pPr>
              <w:spacing w:after="0" w:line="240" w:lineRule="auto"/>
              <w:jc w:val="center"/>
            </w:pPr>
            <w:r>
              <w:rPr>
                <w:rFonts w:ascii="仿宋_GB2312" w:hAnsi="仿宋_GB2312" w:eastAsia="仿宋_GB2312"/>
                <w:b w:val="0"/>
                <w:sz w:val="18"/>
              </w:rPr>
              <w:t>11</w:t>
            </w:r>
          </w:p>
        </w:tc>
        <w:tc>
          <w:tcPr>
            <w:tcW w:w="10340" w:type="dxa"/>
            <w:vAlign w:val="center"/>
          </w:tcPr>
          <w:p w14:paraId="16F17B6D">
            <w:pPr>
              <w:spacing w:after="0" w:line="240" w:lineRule="auto"/>
              <w:rPr>
                <w:rFonts w:hint="eastAsia" w:eastAsia="仿宋_GB2312"/>
                <w:lang w:eastAsia="zh-CN"/>
              </w:rPr>
            </w:pPr>
            <w:r>
              <w:rPr>
                <w:rFonts w:ascii="仿宋_GB2312" w:hAnsi="仿宋_GB2312" w:eastAsia="仿宋_GB2312"/>
                <w:b w:val="0"/>
                <w:sz w:val="18"/>
              </w:rPr>
              <w:t>按照现行山西省地方标准《零碳建筑技术标准》DBJ04/T 503中低碳居住建筑的要求进行建设</w:t>
            </w:r>
            <w:r>
              <w:rPr>
                <w:rFonts w:hint="eastAsia" w:ascii="仿宋_GB2312" w:hAnsi="仿宋_GB2312" w:eastAsia="仿宋_GB2312"/>
                <w:b w:val="0"/>
                <w:sz w:val="18"/>
                <w:lang w:eastAsia="zh-CN"/>
              </w:rPr>
              <w:t>。</w:t>
            </w:r>
          </w:p>
        </w:tc>
        <w:tc>
          <w:tcPr>
            <w:tcW w:w="1619" w:type="dxa"/>
            <w:vAlign w:val="center"/>
          </w:tcPr>
          <w:p w14:paraId="35EB4CA2">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749D5887">
            <w:pPr>
              <w:spacing w:after="0" w:line="240" w:lineRule="auto"/>
              <w:jc w:val="center"/>
            </w:pPr>
          </w:p>
        </w:tc>
      </w:tr>
      <w:tr w14:paraId="1283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8EB26B7">
            <w:pPr>
              <w:spacing w:after="0" w:line="240" w:lineRule="auto"/>
              <w:jc w:val="center"/>
            </w:pPr>
            <w:r>
              <w:rPr>
                <w:rFonts w:ascii="仿宋_GB2312" w:hAnsi="仿宋_GB2312" w:eastAsia="仿宋_GB2312"/>
                <w:b w:val="0"/>
                <w:sz w:val="18"/>
              </w:rPr>
              <w:t>12</w:t>
            </w:r>
          </w:p>
        </w:tc>
        <w:tc>
          <w:tcPr>
            <w:tcW w:w="10340" w:type="dxa"/>
            <w:vAlign w:val="center"/>
          </w:tcPr>
          <w:p w14:paraId="3BE0A903">
            <w:pPr>
              <w:spacing w:after="0" w:line="240" w:lineRule="auto"/>
              <w:rPr>
                <w:rFonts w:hint="eastAsia" w:eastAsia="仿宋_GB2312"/>
                <w:lang w:eastAsia="zh-CN"/>
              </w:rPr>
            </w:pPr>
            <w:r>
              <w:rPr>
                <w:rFonts w:ascii="仿宋_GB2312" w:hAnsi="仿宋_GB2312" w:eastAsia="仿宋_GB2312"/>
                <w:b w:val="0"/>
                <w:sz w:val="18"/>
              </w:rPr>
              <w:t>绿色建材应用比例＞30%</w:t>
            </w:r>
            <w:r>
              <w:rPr>
                <w:rFonts w:hint="eastAsia" w:ascii="仿宋_GB2312" w:hAnsi="仿宋_GB2312" w:eastAsia="仿宋_GB2312"/>
                <w:b w:val="0"/>
                <w:sz w:val="18"/>
                <w:lang w:eastAsia="zh-CN"/>
              </w:rPr>
              <w:t>。</w:t>
            </w:r>
          </w:p>
        </w:tc>
        <w:tc>
          <w:tcPr>
            <w:tcW w:w="1619" w:type="dxa"/>
            <w:vAlign w:val="center"/>
          </w:tcPr>
          <w:p w14:paraId="2A0B4DED">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20004BA">
            <w:pPr>
              <w:spacing w:after="0" w:line="240" w:lineRule="auto"/>
              <w:jc w:val="center"/>
            </w:pPr>
          </w:p>
        </w:tc>
      </w:tr>
      <w:tr w14:paraId="4D62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AE2D349">
            <w:pPr>
              <w:spacing w:after="0" w:line="240" w:lineRule="auto"/>
              <w:jc w:val="center"/>
            </w:pPr>
            <w:r>
              <w:rPr>
                <w:rFonts w:ascii="仿宋_GB2312" w:hAnsi="仿宋_GB2312" w:eastAsia="仿宋_GB2312"/>
                <w:b w:val="0"/>
                <w:sz w:val="18"/>
              </w:rPr>
              <w:t>13</w:t>
            </w:r>
          </w:p>
        </w:tc>
        <w:tc>
          <w:tcPr>
            <w:tcW w:w="10340" w:type="dxa"/>
            <w:vAlign w:val="center"/>
          </w:tcPr>
          <w:p w14:paraId="56C89E2A">
            <w:pPr>
              <w:spacing w:after="0" w:line="240" w:lineRule="auto"/>
              <w:rPr>
                <w:rFonts w:hint="eastAsia" w:eastAsia="仿宋_GB2312"/>
                <w:lang w:eastAsia="zh-CN"/>
              </w:rPr>
            </w:pPr>
            <w:r>
              <w:rPr>
                <w:rFonts w:ascii="仿宋_GB2312" w:hAnsi="仿宋_GB2312" w:eastAsia="仿宋_GB2312"/>
                <w:b w:val="0"/>
                <w:sz w:val="18"/>
              </w:rPr>
              <w:t>下凹式绿地、雨水花园等具备雨水调蓄功能的绿地与水体，其面积之和大于绿地总面积的40%</w:t>
            </w:r>
            <w:r>
              <w:rPr>
                <w:rFonts w:hint="eastAsia" w:ascii="仿宋_GB2312" w:hAnsi="仿宋_GB2312" w:eastAsia="仿宋_GB2312"/>
                <w:b w:val="0"/>
                <w:sz w:val="18"/>
                <w:lang w:eastAsia="zh-CN"/>
              </w:rPr>
              <w:t>。</w:t>
            </w:r>
          </w:p>
        </w:tc>
        <w:tc>
          <w:tcPr>
            <w:tcW w:w="1619" w:type="dxa"/>
            <w:vAlign w:val="center"/>
          </w:tcPr>
          <w:p w14:paraId="3570A08B">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37D71013">
            <w:pPr>
              <w:tabs>
                <w:tab w:val="left" w:pos="515"/>
              </w:tabs>
              <w:spacing w:after="0" w:line="240" w:lineRule="auto"/>
              <w:jc w:val="left"/>
              <w:rPr>
                <w:rFonts w:hint="eastAsia" w:eastAsia="宋体"/>
                <w:lang w:eastAsia="zh-CN"/>
              </w:rPr>
            </w:pPr>
            <w:r>
              <w:rPr>
                <w:rFonts w:hint="eastAsia" w:ascii="仿宋_GB2312" w:hAnsi="仿宋_GB2312" w:eastAsia="仿宋_GB2312"/>
                <w:b w:val="0"/>
                <w:sz w:val="18"/>
                <w:lang w:val="en-US" w:eastAsia="zh-CN"/>
              </w:rPr>
              <w:t>满足1项5分，满足2项10分</w:t>
            </w:r>
          </w:p>
        </w:tc>
      </w:tr>
      <w:tr w14:paraId="2EC0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ED25717">
            <w:pPr>
              <w:spacing w:after="0" w:line="240" w:lineRule="auto"/>
              <w:jc w:val="center"/>
            </w:pPr>
            <w:r>
              <w:rPr>
                <w:rFonts w:ascii="仿宋_GB2312" w:hAnsi="仿宋_GB2312" w:eastAsia="仿宋_GB2312"/>
                <w:b w:val="0"/>
                <w:sz w:val="18"/>
              </w:rPr>
              <w:t>14</w:t>
            </w:r>
          </w:p>
        </w:tc>
        <w:tc>
          <w:tcPr>
            <w:tcW w:w="10340" w:type="dxa"/>
            <w:vAlign w:val="center"/>
          </w:tcPr>
          <w:p w14:paraId="7CBF5293">
            <w:pPr>
              <w:spacing w:after="0" w:line="240" w:lineRule="auto"/>
              <w:rPr>
                <w:rFonts w:hint="eastAsia" w:eastAsia="仿宋_GB2312"/>
                <w:lang w:eastAsia="zh-CN"/>
              </w:rPr>
            </w:pPr>
            <w:r>
              <w:rPr>
                <w:rFonts w:ascii="仿宋_GB2312" w:hAnsi="仿宋_GB2312" w:eastAsia="仿宋_GB2312"/>
                <w:b w:val="0"/>
                <w:sz w:val="18"/>
              </w:rPr>
              <w:t>硬质铺装地面中，透水铺装的面积占比＞50%</w:t>
            </w:r>
            <w:r>
              <w:rPr>
                <w:rFonts w:hint="eastAsia" w:ascii="仿宋_GB2312" w:hAnsi="仿宋_GB2312" w:eastAsia="仿宋_GB2312"/>
                <w:b w:val="0"/>
                <w:sz w:val="18"/>
                <w:lang w:eastAsia="zh-CN"/>
              </w:rPr>
              <w:t>。</w:t>
            </w:r>
          </w:p>
        </w:tc>
        <w:tc>
          <w:tcPr>
            <w:tcW w:w="1619" w:type="dxa"/>
            <w:vAlign w:val="center"/>
          </w:tcPr>
          <w:p w14:paraId="5534BF16">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24F9FCF2">
            <w:pPr>
              <w:spacing w:after="0" w:line="240" w:lineRule="auto"/>
              <w:jc w:val="center"/>
            </w:pPr>
          </w:p>
        </w:tc>
      </w:tr>
      <w:tr w14:paraId="7596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CB2A158">
            <w:pPr>
              <w:spacing w:after="0" w:line="240" w:lineRule="auto"/>
              <w:jc w:val="center"/>
            </w:pPr>
            <w:r>
              <w:rPr>
                <w:rFonts w:ascii="仿宋_GB2312" w:hAnsi="仿宋_GB2312" w:eastAsia="仿宋_GB2312"/>
                <w:b w:val="0"/>
                <w:sz w:val="18"/>
              </w:rPr>
              <w:t>15</w:t>
            </w:r>
          </w:p>
        </w:tc>
        <w:tc>
          <w:tcPr>
            <w:tcW w:w="10340" w:type="dxa"/>
            <w:vAlign w:val="center"/>
          </w:tcPr>
          <w:p w14:paraId="3EF6531C">
            <w:pPr>
              <w:spacing w:after="0" w:line="240" w:lineRule="auto"/>
              <w:rPr>
                <w:rFonts w:hint="eastAsia" w:eastAsia="仿宋_GB2312"/>
                <w:lang w:eastAsia="zh-CN"/>
              </w:rPr>
            </w:pPr>
            <w:r>
              <w:rPr>
                <w:rFonts w:ascii="仿宋_GB2312" w:hAnsi="仿宋_GB2312" w:eastAsia="仿宋_GB2312"/>
                <w:b w:val="0"/>
                <w:sz w:val="18"/>
              </w:rPr>
              <w:t>绿化浇灌用水、硬化地面冲洗用水水源使用雨水收集回用水、市政中水等非传统水源</w:t>
            </w:r>
            <w:r>
              <w:rPr>
                <w:rFonts w:hint="eastAsia" w:ascii="仿宋_GB2312" w:hAnsi="仿宋_GB2312" w:eastAsia="仿宋_GB2312"/>
                <w:b w:val="0"/>
                <w:sz w:val="18"/>
                <w:lang w:eastAsia="zh-CN"/>
              </w:rPr>
              <w:t>。</w:t>
            </w:r>
          </w:p>
        </w:tc>
        <w:tc>
          <w:tcPr>
            <w:tcW w:w="1619" w:type="dxa"/>
            <w:vAlign w:val="center"/>
          </w:tcPr>
          <w:p w14:paraId="600160F0">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5CDF95CD">
            <w:pPr>
              <w:spacing w:after="0" w:line="240" w:lineRule="auto"/>
              <w:jc w:val="center"/>
            </w:pPr>
          </w:p>
        </w:tc>
      </w:tr>
      <w:tr w14:paraId="3E37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179822C">
            <w:pPr>
              <w:spacing w:after="0" w:line="240" w:lineRule="auto"/>
              <w:jc w:val="center"/>
            </w:pPr>
            <w:r>
              <w:rPr>
                <w:rFonts w:ascii="仿宋_GB2312" w:hAnsi="仿宋_GB2312" w:eastAsia="仿宋_GB2312"/>
                <w:b w:val="0"/>
                <w:sz w:val="18"/>
              </w:rPr>
              <w:t>16</w:t>
            </w:r>
          </w:p>
        </w:tc>
        <w:tc>
          <w:tcPr>
            <w:tcW w:w="10340" w:type="dxa"/>
            <w:vAlign w:val="center"/>
          </w:tcPr>
          <w:p w14:paraId="1DC28889">
            <w:pPr>
              <w:spacing w:after="0" w:line="240" w:lineRule="auto"/>
              <w:rPr>
                <w:rFonts w:hint="eastAsia" w:eastAsia="仿宋_GB2312"/>
                <w:lang w:eastAsia="zh-CN"/>
              </w:rPr>
            </w:pPr>
            <w:r>
              <w:rPr>
                <w:rFonts w:ascii="仿宋_GB2312" w:hAnsi="仿宋_GB2312" w:eastAsia="仿宋_GB2312"/>
                <w:b w:val="0"/>
                <w:sz w:val="18"/>
              </w:rPr>
              <w:t>积极推广应用新技术、新材料、新工艺、新设备，采用《山西省建筑业10项新技术》</w:t>
            </w:r>
            <w:r>
              <w:rPr>
                <w:rFonts w:hint="eastAsia" w:ascii="仿宋_GB2312" w:hAnsi="仿宋_GB2312" w:eastAsia="仿宋_GB2312"/>
                <w:b w:val="0"/>
                <w:sz w:val="18"/>
                <w:lang w:eastAsia="zh-CN"/>
              </w:rPr>
              <w:t>。</w:t>
            </w:r>
          </w:p>
        </w:tc>
        <w:tc>
          <w:tcPr>
            <w:tcW w:w="1619" w:type="dxa"/>
            <w:vAlign w:val="center"/>
          </w:tcPr>
          <w:p w14:paraId="30931DF5">
            <w:pPr>
              <w:spacing w:after="0" w:line="240" w:lineRule="auto"/>
              <w:jc w:val="center"/>
            </w:pPr>
            <w:r>
              <w:rPr>
                <w:rFonts w:ascii="仿宋_GB2312" w:hAnsi="仿宋_GB2312" w:eastAsia="仿宋_GB2312"/>
                <w:b w:val="0"/>
                <w:sz w:val="18"/>
              </w:rPr>
              <w:t>□符合 □不符合</w:t>
            </w:r>
          </w:p>
        </w:tc>
        <w:tc>
          <w:tcPr>
            <w:tcW w:w="1761" w:type="dxa"/>
            <w:vAlign w:val="center"/>
          </w:tcPr>
          <w:p w14:paraId="3E6752F7">
            <w:pPr>
              <w:spacing w:after="0" w:line="240" w:lineRule="auto"/>
              <w:jc w:val="left"/>
            </w:pPr>
            <w:r>
              <w:rPr>
                <w:rFonts w:ascii="仿宋_GB2312" w:hAnsi="仿宋_GB2312" w:eastAsia="仿宋_GB2312"/>
                <w:b w:val="0"/>
                <w:sz w:val="18"/>
              </w:rPr>
              <w:t>运行评价</w:t>
            </w:r>
            <w:r>
              <w:rPr>
                <w:rFonts w:hint="eastAsia" w:ascii="仿宋_GB2312" w:hAnsi="仿宋_GB2312" w:eastAsia="仿宋_GB2312"/>
                <w:b w:val="0"/>
                <w:sz w:val="18"/>
                <w:lang w:eastAsia="zh-CN"/>
              </w:rPr>
              <w:t>，</w:t>
            </w:r>
            <w:r>
              <w:rPr>
                <w:rFonts w:hint="eastAsia" w:ascii="仿宋_GB2312" w:hAnsi="仿宋_GB2312" w:eastAsia="仿宋_GB2312"/>
                <w:b w:val="0"/>
                <w:sz w:val="18"/>
                <w:lang w:val="en-US" w:eastAsia="zh-CN"/>
              </w:rPr>
              <w:t>10项新技术，满足</w:t>
            </w:r>
            <w:r>
              <w:rPr>
                <w:rFonts w:hint="eastAsia" w:ascii="仿宋_GB2312" w:hAnsi="仿宋_GB2312" w:eastAsia="仿宋_GB2312"/>
                <w:b w:val="0"/>
                <w:sz w:val="18"/>
                <w:lang w:val="en-US" w:eastAsia="zh"/>
              </w:rPr>
              <w:t>其中</w:t>
            </w:r>
            <w:r>
              <w:rPr>
                <w:rFonts w:hint="eastAsia" w:ascii="仿宋_GB2312" w:hAnsi="仿宋_GB2312" w:eastAsia="仿宋_GB2312"/>
                <w:b w:val="0"/>
                <w:sz w:val="18"/>
                <w:lang w:val="en-US" w:eastAsia="zh-CN"/>
              </w:rPr>
              <w:t>7项</w:t>
            </w:r>
            <w:r>
              <w:rPr>
                <w:rFonts w:hint="eastAsia" w:ascii="仿宋_GB2312" w:hAnsi="仿宋_GB2312" w:eastAsia="仿宋_GB2312"/>
                <w:b w:val="0"/>
                <w:sz w:val="18"/>
                <w:lang w:val="en-US" w:eastAsia="zh"/>
              </w:rPr>
              <w:t>3</w:t>
            </w:r>
            <w:r>
              <w:rPr>
                <w:rFonts w:hint="eastAsia" w:ascii="仿宋_GB2312" w:hAnsi="仿宋_GB2312" w:eastAsia="仿宋_GB2312"/>
                <w:b w:val="0"/>
                <w:sz w:val="18"/>
                <w:lang w:val="en-US" w:eastAsia="zh-CN"/>
              </w:rPr>
              <w:t>分，全部满足</w:t>
            </w:r>
            <w:r>
              <w:rPr>
                <w:rFonts w:hint="eastAsia" w:ascii="仿宋_GB2312" w:hAnsi="仿宋_GB2312" w:eastAsia="仿宋_GB2312"/>
                <w:b w:val="0"/>
                <w:sz w:val="18"/>
                <w:lang w:val="en-US" w:eastAsia="zh"/>
              </w:rPr>
              <w:t>5</w:t>
            </w:r>
            <w:r>
              <w:rPr>
                <w:rFonts w:hint="eastAsia" w:ascii="仿宋_GB2312" w:hAnsi="仿宋_GB2312" w:eastAsia="仿宋_GB2312"/>
                <w:b w:val="0"/>
                <w:sz w:val="18"/>
                <w:lang w:val="en-US" w:eastAsia="zh-CN"/>
              </w:rPr>
              <w:t>分</w:t>
            </w:r>
          </w:p>
        </w:tc>
      </w:tr>
      <w:tr w14:paraId="595F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FED223E">
            <w:pPr>
              <w:spacing w:after="0" w:line="240" w:lineRule="auto"/>
              <w:jc w:val="center"/>
            </w:pPr>
            <w:r>
              <w:rPr>
                <w:rFonts w:ascii="仿宋_GB2312" w:hAnsi="仿宋_GB2312" w:eastAsia="仿宋_GB2312"/>
                <w:b w:val="0"/>
                <w:sz w:val="18"/>
              </w:rPr>
              <w:t>17</w:t>
            </w:r>
          </w:p>
        </w:tc>
        <w:tc>
          <w:tcPr>
            <w:tcW w:w="10340" w:type="dxa"/>
            <w:vAlign w:val="center"/>
          </w:tcPr>
          <w:p w14:paraId="18433048">
            <w:pPr>
              <w:spacing w:after="0" w:line="240" w:lineRule="auto"/>
              <w:rPr>
                <w:rFonts w:hint="eastAsia" w:eastAsia="仿宋_GB2312"/>
                <w:lang w:eastAsia="zh-CN"/>
              </w:rPr>
            </w:pPr>
            <w:r>
              <w:rPr>
                <w:rFonts w:ascii="仿宋_GB2312" w:hAnsi="仿宋_GB2312" w:eastAsia="仿宋_GB2312"/>
                <w:b w:val="0"/>
                <w:sz w:val="18"/>
              </w:rPr>
              <w:t>利用再生材料或可周转材料进行临时场地硬化</w:t>
            </w:r>
            <w:r>
              <w:rPr>
                <w:rFonts w:hint="eastAsia" w:ascii="仿宋_GB2312" w:hAnsi="仿宋_GB2312" w:eastAsia="仿宋_GB2312"/>
                <w:b w:val="0"/>
                <w:sz w:val="18"/>
                <w:lang w:eastAsia="zh-CN"/>
              </w:rPr>
              <w:t>。</w:t>
            </w:r>
          </w:p>
        </w:tc>
        <w:tc>
          <w:tcPr>
            <w:tcW w:w="1619" w:type="dxa"/>
            <w:vAlign w:val="center"/>
          </w:tcPr>
          <w:p w14:paraId="664F1611">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018A42C2">
            <w:pPr>
              <w:spacing w:after="0" w:line="240" w:lineRule="auto"/>
              <w:jc w:val="left"/>
              <w:rPr>
                <w:rFonts w:hint="eastAsia" w:eastAsia="仿宋_GB2312"/>
                <w:lang w:eastAsia="zh-CN"/>
              </w:rPr>
            </w:pPr>
            <w:r>
              <w:rPr>
                <w:rFonts w:ascii="仿宋_GB2312" w:hAnsi="仿宋_GB2312" w:eastAsia="仿宋_GB2312"/>
                <w:b w:val="0"/>
                <w:sz w:val="18"/>
              </w:rPr>
              <w:t>运行评价</w:t>
            </w:r>
            <w:r>
              <w:rPr>
                <w:rFonts w:hint="eastAsia" w:ascii="仿宋_GB2312" w:hAnsi="仿宋_GB2312" w:eastAsia="仿宋_GB2312"/>
                <w:b w:val="0"/>
                <w:sz w:val="18"/>
                <w:lang w:eastAsia="zh-CN"/>
              </w:rPr>
              <w:t>，</w:t>
            </w:r>
            <w:r>
              <w:rPr>
                <w:rFonts w:hint="eastAsia" w:ascii="仿宋_GB2312" w:hAnsi="仿宋_GB2312" w:eastAsia="仿宋_GB2312"/>
                <w:b w:val="0"/>
                <w:sz w:val="18"/>
                <w:lang w:val="en-US" w:eastAsia="zh-CN"/>
              </w:rPr>
              <w:t>满足1项</w:t>
            </w:r>
            <w:r>
              <w:rPr>
                <w:rFonts w:hint="eastAsia" w:ascii="仿宋_GB2312" w:hAnsi="仿宋_GB2312" w:eastAsia="仿宋_GB2312"/>
                <w:b w:val="0"/>
                <w:sz w:val="18"/>
                <w:lang w:val="en-US" w:eastAsia="zh"/>
              </w:rPr>
              <w:t>5</w:t>
            </w:r>
            <w:r>
              <w:rPr>
                <w:rFonts w:hint="eastAsia" w:ascii="仿宋_GB2312" w:hAnsi="仿宋_GB2312" w:eastAsia="仿宋_GB2312"/>
                <w:b w:val="0"/>
                <w:sz w:val="18"/>
                <w:lang w:val="en-US" w:eastAsia="zh-CN"/>
              </w:rPr>
              <w:t>分，满足3项</w:t>
            </w:r>
            <w:r>
              <w:rPr>
                <w:rFonts w:hint="eastAsia" w:ascii="仿宋_GB2312" w:hAnsi="仿宋_GB2312" w:eastAsia="仿宋_GB2312"/>
                <w:b w:val="0"/>
                <w:sz w:val="18"/>
                <w:lang w:val="en-US" w:eastAsia="zh"/>
              </w:rPr>
              <w:t>20</w:t>
            </w:r>
            <w:r>
              <w:rPr>
                <w:rFonts w:hint="eastAsia" w:ascii="仿宋_GB2312" w:hAnsi="仿宋_GB2312" w:eastAsia="仿宋_GB2312"/>
                <w:b w:val="0"/>
                <w:sz w:val="18"/>
                <w:lang w:val="en-US" w:eastAsia="zh-CN"/>
              </w:rPr>
              <w:t>分</w:t>
            </w:r>
          </w:p>
        </w:tc>
      </w:tr>
      <w:tr w14:paraId="06A9C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4F0DBE9">
            <w:pPr>
              <w:spacing w:after="0" w:line="240" w:lineRule="auto"/>
              <w:jc w:val="center"/>
            </w:pPr>
            <w:r>
              <w:rPr>
                <w:rFonts w:ascii="仿宋_GB2312" w:hAnsi="仿宋_GB2312" w:eastAsia="仿宋_GB2312"/>
                <w:b w:val="0"/>
                <w:sz w:val="18"/>
              </w:rPr>
              <w:t>18</w:t>
            </w:r>
          </w:p>
        </w:tc>
        <w:tc>
          <w:tcPr>
            <w:tcW w:w="10340" w:type="dxa"/>
            <w:vAlign w:val="center"/>
          </w:tcPr>
          <w:p w14:paraId="4C7E4BC3">
            <w:pPr>
              <w:spacing w:after="0" w:line="240" w:lineRule="auto"/>
              <w:rPr>
                <w:rFonts w:hint="eastAsia" w:eastAsia="仿宋_GB2312"/>
                <w:lang w:eastAsia="zh-CN"/>
              </w:rPr>
            </w:pPr>
            <w:r>
              <w:rPr>
                <w:rFonts w:ascii="仿宋_GB2312" w:hAnsi="仿宋_GB2312" w:eastAsia="仿宋_GB2312"/>
                <w:b w:val="0"/>
                <w:sz w:val="18"/>
              </w:rPr>
              <w:t>施工中采用节水技术、非传统水源利用技术</w:t>
            </w:r>
            <w:r>
              <w:rPr>
                <w:rFonts w:hint="eastAsia" w:ascii="仿宋_GB2312" w:hAnsi="仿宋_GB2312" w:eastAsia="仿宋_GB2312"/>
                <w:b w:val="0"/>
                <w:sz w:val="18"/>
                <w:lang w:eastAsia="zh-CN"/>
              </w:rPr>
              <w:t>。</w:t>
            </w:r>
          </w:p>
        </w:tc>
        <w:tc>
          <w:tcPr>
            <w:tcW w:w="1619" w:type="dxa"/>
            <w:vAlign w:val="center"/>
          </w:tcPr>
          <w:p w14:paraId="00AEB23E">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400E6921">
            <w:pPr>
              <w:spacing w:after="0" w:line="240" w:lineRule="auto"/>
              <w:jc w:val="center"/>
            </w:pPr>
          </w:p>
        </w:tc>
      </w:tr>
      <w:tr w14:paraId="497F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A0F3AA3">
            <w:pPr>
              <w:spacing w:after="0" w:line="240" w:lineRule="auto"/>
              <w:jc w:val="center"/>
            </w:pPr>
            <w:r>
              <w:rPr>
                <w:rFonts w:ascii="仿宋_GB2312" w:hAnsi="仿宋_GB2312" w:eastAsia="仿宋_GB2312"/>
                <w:b w:val="0"/>
                <w:sz w:val="18"/>
              </w:rPr>
              <w:t>19</w:t>
            </w:r>
          </w:p>
        </w:tc>
        <w:tc>
          <w:tcPr>
            <w:tcW w:w="10340" w:type="dxa"/>
            <w:vAlign w:val="center"/>
          </w:tcPr>
          <w:p w14:paraId="1B705E0C">
            <w:pPr>
              <w:spacing w:after="0" w:line="240" w:lineRule="auto"/>
              <w:rPr>
                <w:rFonts w:hint="eastAsia" w:eastAsia="仿宋_GB2312"/>
                <w:lang w:eastAsia="zh-CN"/>
              </w:rPr>
            </w:pPr>
            <w:r>
              <w:rPr>
                <w:rFonts w:ascii="仿宋_GB2312" w:hAnsi="仿宋_GB2312" w:eastAsia="仿宋_GB2312"/>
                <w:b w:val="0"/>
                <w:sz w:val="18"/>
              </w:rPr>
              <w:t>采用施工机具及临时设施节能技术、施工现场新能源及清洁能源利用技术</w:t>
            </w:r>
            <w:r>
              <w:rPr>
                <w:rFonts w:hint="eastAsia" w:ascii="仿宋_GB2312" w:hAnsi="仿宋_GB2312" w:eastAsia="仿宋_GB2312"/>
                <w:b w:val="0"/>
                <w:sz w:val="18"/>
                <w:lang w:eastAsia="zh-CN"/>
              </w:rPr>
              <w:t>。</w:t>
            </w:r>
          </w:p>
        </w:tc>
        <w:tc>
          <w:tcPr>
            <w:tcW w:w="1619" w:type="dxa"/>
            <w:vAlign w:val="center"/>
          </w:tcPr>
          <w:p w14:paraId="31CC5B01">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55A5C129">
            <w:pPr>
              <w:spacing w:after="0" w:line="240" w:lineRule="auto"/>
              <w:jc w:val="center"/>
            </w:pPr>
          </w:p>
        </w:tc>
      </w:tr>
      <w:tr w14:paraId="5BED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322B0EB">
            <w:pPr>
              <w:spacing w:after="0" w:line="240" w:lineRule="auto"/>
              <w:jc w:val="center"/>
            </w:pPr>
            <w:r>
              <w:rPr>
                <w:rFonts w:ascii="仿宋_GB2312" w:hAnsi="仿宋_GB2312" w:eastAsia="仿宋_GB2312"/>
                <w:b w:val="0"/>
                <w:sz w:val="18"/>
              </w:rPr>
              <w:t>20</w:t>
            </w:r>
          </w:p>
        </w:tc>
        <w:tc>
          <w:tcPr>
            <w:tcW w:w="10340" w:type="dxa"/>
            <w:vAlign w:val="center"/>
          </w:tcPr>
          <w:p w14:paraId="2E2D6D79">
            <w:pPr>
              <w:spacing w:after="0" w:line="240" w:lineRule="auto"/>
              <w:rPr>
                <w:rFonts w:hint="eastAsia" w:eastAsia="仿宋_GB2312"/>
                <w:lang w:eastAsia="zh-CN"/>
              </w:rPr>
            </w:pPr>
            <w:r>
              <w:rPr>
                <w:rFonts w:ascii="仿宋_GB2312" w:hAnsi="仿宋_GB2312" w:eastAsia="仿宋_GB2312"/>
                <w:b w:val="0"/>
                <w:sz w:val="18"/>
              </w:rPr>
              <w:t>采用建筑配件整体化、建筑构件装配化安装技术、钢筋集中加工配送等技术</w:t>
            </w:r>
            <w:r>
              <w:rPr>
                <w:rFonts w:hint="eastAsia" w:ascii="仿宋_GB2312" w:hAnsi="仿宋_GB2312" w:eastAsia="仿宋_GB2312"/>
                <w:b w:val="0"/>
                <w:sz w:val="18"/>
                <w:lang w:eastAsia="zh-CN"/>
              </w:rPr>
              <w:t>。</w:t>
            </w:r>
          </w:p>
        </w:tc>
        <w:tc>
          <w:tcPr>
            <w:tcW w:w="1619" w:type="dxa"/>
            <w:vAlign w:val="center"/>
          </w:tcPr>
          <w:p w14:paraId="7BDAEC3F">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5B95A486">
            <w:pPr>
              <w:spacing w:after="0" w:line="240" w:lineRule="auto"/>
              <w:jc w:val="center"/>
            </w:pPr>
          </w:p>
        </w:tc>
      </w:tr>
      <w:tr w14:paraId="2C76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98B3FD4">
            <w:pPr>
              <w:spacing w:after="0" w:line="240" w:lineRule="auto"/>
              <w:jc w:val="center"/>
            </w:pPr>
            <w:r>
              <w:rPr>
                <w:rFonts w:ascii="仿宋_GB2312" w:hAnsi="仿宋_GB2312" w:eastAsia="仿宋_GB2312"/>
                <w:b w:val="0"/>
                <w:sz w:val="18"/>
              </w:rPr>
              <w:t>21</w:t>
            </w:r>
          </w:p>
        </w:tc>
        <w:tc>
          <w:tcPr>
            <w:tcW w:w="10340" w:type="dxa"/>
            <w:vAlign w:val="center"/>
          </w:tcPr>
          <w:p w14:paraId="51CCFBBD">
            <w:pPr>
              <w:spacing w:after="0" w:line="240" w:lineRule="auto"/>
              <w:rPr>
                <w:rFonts w:hint="eastAsia" w:eastAsia="仿宋_GB2312"/>
                <w:lang w:eastAsia="zh-CN"/>
              </w:rPr>
            </w:pPr>
            <w:r>
              <w:rPr>
                <w:rFonts w:ascii="仿宋_GB2312" w:hAnsi="仿宋_GB2312" w:eastAsia="仿宋_GB2312"/>
                <w:b w:val="0"/>
                <w:sz w:val="18"/>
              </w:rPr>
              <w:t>配置环境监测系统、建筑能效监管系统，提升设备协调运行效能</w:t>
            </w:r>
            <w:r>
              <w:rPr>
                <w:rFonts w:hint="eastAsia" w:ascii="仿宋_GB2312" w:hAnsi="仿宋_GB2312" w:eastAsia="仿宋_GB2312"/>
                <w:b w:val="0"/>
                <w:sz w:val="18"/>
                <w:lang w:eastAsia="zh-CN"/>
              </w:rPr>
              <w:t>。</w:t>
            </w:r>
          </w:p>
        </w:tc>
        <w:tc>
          <w:tcPr>
            <w:tcW w:w="1619" w:type="dxa"/>
            <w:vAlign w:val="center"/>
          </w:tcPr>
          <w:p w14:paraId="488F5C9A">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77944FE7">
            <w:pPr>
              <w:spacing w:after="0" w:line="240" w:lineRule="auto"/>
              <w:jc w:val="left"/>
            </w:pPr>
            <w:r>
              <w:rPr>
                <w:rFonts w:ascii="仿宋_GB2312" w:hAnsi="仿宋_GB2312" w:eastAsia="仿宋_GB2312"/>
                <w:b w:val="0"/>
                <w:sz w:val="18"/>
              </w:rPr>
              <w:t>运行评价</w:t>
            </w:r>
            <w:r>
              <w:rPr>
                <w:rFonts w:hint="eastAsia" w:ascii="仿宋_GB2312" w:hAnsi="仿宋_GB2312" w:eastAsia="仿宋_GB2312"/>
                <w:b w:val="0"/>
                <w:sz w:val="18"/>
                <w:lang w:eastAsia="zh-CN"/>
              </w:rPr>
              <w:t>，</w:t>
            </w:r>
            <w:r>
              <w:rPr>
                <w:rFonts w:hint="eastAsia" w:ascii="仿宋_GB2312" w:hAnsi="仿宋_GB2312" w:eastAsia="仿宋_GB2312"/>
                <w:b w:val="0"/>
                <w:sz w:val="18"/>
                <w:lang w:val="en-US" w:eastAsia="zh-CN"/>
              </w:rPr>
              <w:t>满足1项</w:t>
            </w:r>
            <w:r>
              <w:rPr>
                <w:rFonts w:hint="eastAsia" w:ascii="仿宋_GB2312" w:hAnsi="仿宋_GB2312" w:eastAsia="仿宋_GB2312"/>
                <w:b w:val="0"/>
                <w:sz w:val="18"/>
                <w:lang w:val="en-US" w:eastAsia="zh"/>
              </w:rPr>
              <w:t>5</w:t>
            </w:r>
            <w:r>
              <w:rPr>
                <w:rFonts w:hint="eastAsia" w:ascii="仿宋_GB2312" w:hAnsi="仿宋_GB2312" w:eastAsia="仿宋_GB2312"/>
                <w:b w:val="0"/>
                <w:sz w:val="18"/>
                <w:lang w:val="en-US" w:eastAsia="zh-CN"/>
              </w:rPr>
              <w:t>分，满足2项1</w:t>
            </w:r>
            <w:r>
              <w:rPr>
                <w:rFonts w:hint="eastAsia" w:ascii="仿宋_GB2312" w:hAnsi="仿宋_GB2312" w:eastAsia="仿宋_GB2312"/>
                <w:b w:val="0"/>
                <w:sz w:val="18"/>
                <w:lang w:val="en-US" w:eastAsia="zh"/>
              </w:rPr>
              <w:t>0</w:t>
            </w:r>
            <w:r>
              <w:rPr>
                <w:rFonts w:hint="eastAsia" w:ascii="仿宋_GB2312" w:hAnsi="仿宋_GB2312" w:eastAsia="仿宋_GB2312"/>
                <w:b w:val="0"/>
                <w:sz w:val="18"/>
                <w:lang w:val="en-US" w:eastAsia="zh-CN"/>
              </w:rPr>
              <w:t>分</w:t>
            </w:r>
            <w:r>
              <w:rPr>
                <w:rFonts w:hint="eastAsia" w:ascii="仿宋_GB2312" w:hAnsi="仿宋_GB2312" w:eastAsia="仿宋_GB2312"/>
                <w:b w:val="0"/>
                <w:sz w:val="18"/>
                <w:lang w:val="en-US" w:eastAsia="zh"/>
              </w:rPr>
              <w:t>，</w:t>
            </w:r>
            <w:r>
              <w:rPr>
                <w:rFonts w:hint="eastAsia" w:ascii="仿宋_GB2312" w:hAnsi="仿宋_GB2312" w:eastAsia="仿宋_GB2312"/>
                <w:b w:val="0"/>
                <w:sz w:val="18"/>
                <w:lang w:val="en-US" w:eastAsia="zh-CN"/>
              </w:rPr>
              <w:t>满足3项</w:t>
            </w:r>
            <w:r>
              <w:rPr>
                <w:rFonts w:hint="eastAsia" w:ascii="仿宋_GB2312" w:hAnsi="仿宋_GB2312" w:eastAsia="仿宋_GB2312"/>
                <w:b w:val="0"/>
                <w:sz w:val="18"/>
                <w:lang w:val="en-US" w:eastAsia="zh"/>
              </w:rPr>
              <w:t>20</w:t>
            </w:r>
            <w:r>
              <w:rPr>
                <w:rFonts w:hint="eastAsia" w:ascii="仿宋_GB2312" w:hAnsi="仿宋_GB2312" w:eastAsia="仿宋_GB2312"/>
                <w:b w:val="0"/>
                <w:sz w:val="18"/>
                <w:lang w:val="en-US" w:eastAsia="zh-CN"/>
              </w:rPr>
              <w:t>分</w:t>
            </w:r>
          </w:p>
        </w:tc>
      </w:tr>
      <w:tr w14:paraId="6186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30AF2D6">
            <w:pPr>
              <w:spacing w:after="0" w:line="240" w:lineRule="auto"/>
              <w:jc w:val="center"/>
            </w:pPr>
            <w:r>
              <w:rPr>
                <w:rFonts w:ascii="仿宋_GB2312" w:hAnsi="仿宋_GB2312" w:eastAsia="仿宋_GB2312"/>
                <w:b w:val="0"/>
                <w:sz w:val="18"/>
              </w:rPr>
              <w:t>22</w:t>
            </w:r>
          </w:p>
        </w:tc>
        <w:tc>
          <w:tcPr>
            <w:tcW w:w="10340" w:type="dxa"/>
            <w:vAlign w:val="center"/>
          </w:tcPr>
          <w:p w14:paraId="06EDE851">
            <w:pPr>
              <w:spacing w:after="0" w:line="240" w:lineRule="auto"/>
              <w:rPr>
                <w:rFonts w:hint="eastAsia" w:eastAsia="仿宋_GB2312"/>
                <w:lang w:eastAsia="zh-CN"/>
              </w:rPr>
            </w:pPr>
            <w:r>
              <w:rPr>
                <w:rFonts w:ascii="仿宋_GB2312" w:hAnsi="仿宋_GB2312" w:eastAsia="仿宋_GB2312"/>
                <w:b w:val="0"/>
                <w:sz w:val="18"/>
              </w:rPr>
              <w:t>公区照明采用潮汐控制模式，实时调节照明时间，定期检查灯具状态；鼓励业主使用节能灯具、节能电器，提供设备使用手册</w:t>
            </w:r>
            <w:r>
              <w:rPr>
                <w:rFonts w:hint="eastAsia" w:ascii="仿宋_GB2312" w:hAnsi="仿宋_GB2312" w:eastAsia="仿宋_GB2312"/>
                <w:b w:val="0"/>
                <w:sz w:val="18"/>
                <w:lang w:eastAsia="zh-CN"/>
              </w:rPr>
              <w:t>。</w:t>
            </w:r>
          </w:p>
        </w:tc>
        <w:tc>
          <w:tcPr>
            <w:tcW w:w="1619" w:type="dxa"/>
            <w:vAlign w:val="center"/>
          </w:tcPr>
          <w:p w14:paraId="0BF9B64B">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0C15DDEF">
            <w:pPr>
              <w:spacing w:after="0" w:line="240" w:lineRule="auto"/>
              <w:jc w:val="center"/>
            </w:pPr>
          </w:p>
        </w:tc>
      </w:tr>
      <w:tr w14:paraId="7ACB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E5C6D72">
            <w:pPr>
              <w:spacing w:after="0" w:line="240" w:lineRule="auto"/>
              <w:jc w:val="center"/>
            </w:pPr>
            <w:r>
              <w:rPr>
                <w:rFonts w:ascii="仿宋_GB2312" w:hAnsi="仿宋_GB2312" w:eastAsia="仿宋_GB2312"/>
                <w:b w:val="0"/>
                <w:sz w:val="18"/>
              </w:rPr>
              <w:t>23</w:t>
            </w:r>
          </w:p>
        </w:tc>
        <w:tc>
          <w:tcPr>
            <w:tcW w:w="10340" w:type="dxa"/>
            <w:vAlign w:val="center"/>
          </w:tcPr>
          <w:p w14:paraId="1BE46518">
            <w:pPr>
              <w:spacing w:after="0" w:line="240" w:lineRule="auto"/>
              <w:rPr>
                <w:rFonts w:hint="eastAsia" w:eastAsia="仿宋_GB2312"/>
                <w:lang w:eastAsia="zh-CN"/>
              </w:rPr>
            </w:pPr>
            <w:r>
              <w:rPr>
                <w:rFonts w:ascii="仿宋_GB2312" w:hAnsi="仿宋_GB2312" w:eastAsia="仿宋_GB2312"/>
                <w:b w:val="0"/>
                <w:sz w:val="18"/>
              </w:rPr>
              <w:t>建立物联网智慧水务监管平台，集成流量、压力等数据，动态监控用水状况</w:t>
            </w:r>
            <w:r>
              <w:rPr>
                <w:rFonts w:hint="eastAsia" w:ascii="仿宋_GB2312" w:hAnsi="仿宋_GB2312" w:eastAsia="仿宋_GB2312"/>
                <w:b w:val="0"/>
                <w:sz w:val="18"/>
                <w:lang w:eastAsia="zh-CN"/>
              </w:rPr>
              <w:t>。</w:t>
            </w:r>
          </w:p>
        </w:tc>
        <w:tc>
          <w:tcPr>
            <w:tcW w:w="1619" w:type="dxa"/>
            <w:vAlign w:val="center"/>
          </w:tcPr>
          <w:p w14:paraId="6594C530">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16A23B0">
            <w:pPr>
              <w:spacing w:after="0" w:line="240" w:lineRule="auto"/>
              <w:jc w:val="center"/>
            </w:pPr>
          </w:p>
        </w:tc>
      </w:tr>
      <w:tr w14:paraId="14B7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5553B8E">
            <w:pPr>
              <w:spacing w:after="0" w:line="240" w:lineRule="auto"/>
              <w:jc w:val="center"/>
            </w:pPr>
            <w:r>
              <w:rPr>
                <w:rFonts w:ascii="仿宋_GB2312" w:hAnsi="仿宋_GB2312" w:eastAsia="仿宋_GB2312"/>
                <w:b w:val="0"/>
                <w:sz w:val="18"/>
              </w:rPr>
              <w:t>24</w:t>
            </w:r>
          </w:p>
        </w:tc>
        <w:tc>
          <w:tcPr>
            <w:tcW w:w="10340" w:type="dxa"/>
            <w:vAlign w:val="center"/>
          </w:tcPr>
          <w:p w14:paraId="0C580803">
            <w:pPr>
              <w:spacing w:after="0" w:line="240" w:lineRule="auto"/>
            </w:pPr>
            <w:r>
              <w:rPr>
                <w:rFonts w:ascii="仿宋_GB2312" w:hAnsi="仿宋_GB2312" w:eastAsia="仿宋_GB2312"/>
                <w:b w:val="0"/>
                <w:sz w:val="18"/>
              </w:rPr>
              <w:t>利用计量数据进行管网漏损自动检测，实时报警微小渗漏。</w:t>
            </w:r>
          </w:p>
        </w:tc>
        <w:tc>
          <w:tcPr>
            <w:tcW w:w="1619" w:type="dxa"/>
            <w:vAlign w:val="center"/>
          </w:tcPr>
          <w:p w14:paraId="0E443807">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4E388320">
            <w:pPr>
              <w:spacing w:after="0" w:line="240" w:lineRule="auto"/>
              <w:jc w:val="center"/>
            </w:pPr>
          </w:p>
        </w:tc>
      </w:tr>
    </w:tbl>
    <w:p w14:paraId="1383A5AF">
      <w:pPr>
        <w:rPr>
          <w:rFonts w:ascii="楷体_GB2312" w:hAnsi="楷体_GB2312" w:eastAsia="楷体_GB2312"/>
          <w:b/>
          <w:bCs w:val="0"/>
          <w:sz w:val="28"/>
          <w:szCs w:val="28"/>
        </w:rPr>
      </w:pPr>
      <w:r>
        <w:rPr>
          <w:rFonts w:ascii="楷体_GB2312" w:hAnsi="楷体_GB2312" w:eastAsia="楷体_GB2312"/>
          <w:b/>
          <w:bCs w:val="0"/>
          <w:sz w:val="28"/>
          <w:szCs w:val="28"/>
        </w:rPr>
        <w:t>（三）加分项（共3条）</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0340"/>
        <w:gridCol w:w="1619"/>
        <w:gridCol w:w="1761"/>
      </w:tblGrid>
      <w:tr w14:paraId="4E553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2F2F2"/>
            <w:vAlign w:val="center"/>
          </w:tcPr>
          <w:p w14:paraId="71DD7453">
            <w:pPr>
              <w:spacing w:after="0" w:line="240" w:lineRule="auto"/>
              <w:jc w:val="center"/>
              <w:rPr>
                <w:rFonts w:ascii="黑体" w:hAnsi="黑体" w:eastAsia="黑体"/>
                <w:b/>
                <w:sz w:val="24"/>
                <w:szCs w:val="24"/>
              </w:rPr>
            </w:pPr>
            <w:r>
              <w:rPr>
                <w:rFonts w:ascii="黑体" w:hAnsi="黑体" w:eastAsia="黑体"/>
                <w:b/>
                <w:sz w:val="24"/>
                <w:szCs w:val="24"/>
              </w:rPr>
              <w:t>序号</w:t>
            </w:r>
          </w:p>
        </w:tc>
        <w:tc>
          <w:tcPr>
            <w:tcW w:w="10340" w:type="dxa"/>
            <w:shd w:val="clear" w:color="auto" w:fill="F2F2F2"/>
            <w:vAlign w:val="center"/>
          </w:tcPr>
          <w:p w14:paraId="1DC85627">
            <w:pPr>
              <w:spacing w:after="0" w:line="240" w:lineRule="auto"/>
              <w:jc w:val="center"/>
              <w:rPr>
                <w:rFonts w:ascii="黑体" w:hAnsi="黑体" w:eastAsia="黑体"/>
                <w:b/>
                <w:sz w:val="24"/>
                <w:szCs w:val="24"/>
              </w:rPr>
            </w:pPr>
            <w:r>
              <w:rPr>
                <w:rFonts w:ascii="黑体" w:hAnsi="黑体" w:eastAsia="黑体"/>
                <w:b/>
                <w:sz w:val="24"/>
                <w:szCs w:val="24"/>
              </w:rPr>
              <w:t>加分项内容</w:t>
            </w:r>
          </w:p>
        </w:tc>
        <w:tc>
          <w:tcPr>
            <w:tcW w:w="1619" w:type="dxa"/>
            <w:shd w:val="clear" w:color="auto" w:fill="F2F2F2"/>
            <w:vAlign w:val="center"/>
          </w:tcPr>
          <w:p w14:paraId="1586AF69">
            <w:pPr>
              <w:spacing w:after="0" w:line="240" w:lineRule="auto"/>
              <w:jc w:val="center"/>
              <w:rPr>
                <w:rFonts w:ascii="黑体" w:hAnsi="黑体" w:eastAsia="黑体"/>
                <w:b/>
                <w:sz w:val="24"/>
                <w:szCs w:val="24"/>
              </w:rPr>
            </w:pPr>
            <w:r>
              <w:rPr>
                <w:rFonts w:ascii="黑体" w:hAnsi="黑体" w:eastAsia="黑体"/>
                <w:b/>
                <w:sz w:val="24"/>
                <w:szCs w:val="24"/>
              </w:rPr>
              <w:t>自查结果</w:t>
            </w:r>
          </w:p>
        </w:tc>
        <w:tc>
          <w:tcPr>
            <w:tcW w:w="1761" w:type="dxa"/>
            <w:shd w:val="clear" w:color="auto" w:fill="F2F2F2"/>
            <w:vAlign w:val="center"/>
          </w:tcPr>
          <w:p w14:paraId="351FA8DB">
            <w:pPr>
              <w:spacing w:after="0" w:line="240" w:lineRule="auto"/>
              <w:jc w:val="center"/>
              <w:rPr>
                <w:rFonts w:ascii="黑体" w:hAnsi="黑体" w:eastAsia="黑体"/>
                <w:b/>
                <w:sz w:val="24"/>
                <w:szCs w:val="24"/>
              </w:rPr>
            </w:pPr>
            <w:r>
              <w:rPr>
                <w:rFonts w:ascii="黑体" w:hAnsi="黑体" w:eastAsia="黑体"/>
                <w:b/>
                <w:sz w:val="24"/>
                <w:szCs w:val="24"/>
              </w:rPr>
              <w:t>备注</w:t>
            </w:r>
          </w:p>
        </w:tc>
      </w:tr>
      <w:tr w14:paraId="27B1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A127639">
            <w:pPr>
              <w:spacing w:after="0" w:line="240" w:lineRule="auto"/>
              <w:jc w:val="center"/>
            </w:pPr>
            <w:r>
              <w:rPr>
                <w:rFonts w:ascii="仿宋_GB2312" w:hAnsi="仿宋_GB2312" w:eastAsia="仿宋_GB2312"/>
                <w:b w:val="0"/>
                <w:sz w:val="18"/>
              </w:rPr>
              <w:t>1</w:t>
            </w:r>
          </w:p>
        </w:tc>
        <w:tc>
          <w:tcPr>
            <w:tcW w:w="10340" w:type="dxa"/>
            <w:vAlign w:val="center"/>
          </w:tcPr>
          <w:p w14:paraId="16969EBF">
            <w:pPr>
              <w:spacing w:after="0" w:line="240" w:lineRule="auto"/>
            </w:pPr>
            <w:r>
              <w:rPr>
                <w:rFonts w:ascii="仿宋_GB2312" w:hAnsi="仿宋_GB2312" w:eastAsia="仿宋_GB2312"/>
                <w:b w:val="0"/>
                <w:sz w:val="18"/>
              </w:rPr>
              <w:t>打造海绵社区一体化设计，将雨水收集、调蓄、利用与景观、绿化、道路融合，配套智能雨水监测与利用系统。</w:t>
            </w:r>
          </w:p>
        </w:tc>
        <w:tc>
          <w:tcPr>
            <w:tcW w:w="1619" w:type="dxa"/>
            <w:vAlign w:val="center"/>
          </w:tcPr>
          <w:p w14:paraId="4D66D2D0">
            <w:pPr>
              <w:spacing w:after="0" w:line="240" w:lineRule="auto"/>
              <w:jc w:val="center"/>
            </w:pPr>
            <w:r>
              <w:rPr>
                <w:rFonts w:ascii="仿宋_GB2312" w:hAnsi="仿宋_GB2312" w:eastAsia="仿宋_GB2312"/>
                <w:b w:val="0"/>
                <w:sz w:val="18"/>
              </w:rPr>
              <w:t>□符合 □不符合</w:t>
            </w:r>
          </w:p>
        </w:tc>
        <w:tc>
          <w:tcPr>
            <w:tcW w:w="1761" w:type="dxa"/>
            <w:vAlign w:val="center"/>
          </w:tcPr>
          <w:p w14:paraId="39CFE407">
            <w:pPr>
              <w:spacing w:after="0" w:line="240" w:lineRule="auto"/>
              <w:jc w:val="center"/>
            </w:pPr>
            <w:r>
              <w:rPr>
                <w:rFonts w:hint="eastAsia" w:ascii="仿宋_GB2312" w:hAnsi="仿宋_GB2312" w:eastAsia="仿宋_GB2312"/>
                <w:b w:val="0"/>
                <w:sz w:val="18"/>
                <w:lang w:val="en-US" w:eastAsia="zh"/>
              </w:rPr>
              <w:t>1</w:t>
            </w:r>
            <w:r>
              <w:rPr>
                <w:rFonts w:hint="eastAsia" w:ascii="仿宋_GB2312" w:hAnsi="仿宋_GB2312" w:eastAsia="仿宋_GB2312"/>
                <w:b w:val="0"/>
                <w:sz w:val="18"/>
                <w:lang w:val="en-US" w:eastAsia="zh-CN"/>
              </w:rPr>
              <w:t>分</w:t>
            </w:r>
          </w:p>
        </w:tc>
      </w:tr>
      <w:tr w14:paraId="5BCF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6D8BB1C">
            <w:pPr>
              <w:spacing w:after="0" w:line="240" w:lineRule="auto"/>
              <w:jc w:val="center"/>
            </w:pPr>
            <w:r>
              <w:rPr>
                <w:rFonts w:ascii="仿宋_GB2312" w:hAnsi="仿宋_GB2312" w:eastAsia="仿宋_GB2312"/>
                <w:b w:val="0"/>
                <w:sz w:val="18"/>
              </w:rPr>
              <w:t>2</w:t>
            </w:r>
          </w:p>
        </w:tc>
        <w:tc>
          <w:tcPr>
            <w:tcW w:w="10340" w:type="dxa"/>
            <w:vAlign w:val="center"/>
          </w:tcPr>
          <w:p w14:paraId="532FA708">
            <w:pPr>
              <w:spacing w:after="0" w:line="240" w:lineRule="auto"/>
            </w:pPr>
            <w:r>
              <w:rPr>
                <w:rFonts w:ascii="仿宋_GB2312" w:hAnsi="仿宋_GB2312" w:eastAsia="仿宋_GB2312"/>
                <w:b w:val="0"/>
                <w:sz w:val="18"/>
              </w:rPr>
              <w:t>采用智能建造技术（如施工机器人、无人机测量、实测实量机器人等）。</w:t>
            </w:r>
          </w:p>
        </w:tc>
        <w:tc>
          <w:tcPr>
            <w:tcW w:w="1619" w:type="dxa"/>
            <w:vAlign w:val="center"/>
          </w:tcPr>
          <w:p w14:paraId="2E5372C7">
            <w:pPr>
              <w:spacing w:after="0" w:line="240" w:lineRule="auto"/>
              <w:jc w:val="center"/>
            </w:pPr>
            <w:r>
              <w:rPr>
                <w:rFonts w:ascii="仿宋_GB2312" w:hAnsi="仿宋_GB2312" w:eastAsia="仿宋_GB2312"/>
                <w:b w:val="0"/>
                <w:sz w:val="18"/>
              </w:rPr>
              <w:t>□符合 □不符合</w:t>
            </w:r>
          </w:p>
        </w:tc>
        <w:tc>
          <w:tcPr>
            <w:tcW w:w="1761" w:type="dxa"/>
            <w:vAlign w:val="center"/>
          </w:tcPr>
          <w:p w14:paraId="10A280EC">
            <w:pPr>
              <w:spacing w:after="0" w:line="240" w:lineRule="auto"/>
              <w:jc w:val="center"/>
            </w:pPr>
            <w:r>
              <w:rPr>
                <w:rFonts w:ascii="仿宋_GB2312" w:hAnsi="仿宋_GB2312" w:eastAsia="仿宋_GB2312"/>
                <w:b w:val="0"/>
                <w:sz w:val="18"/>
              </w:rPr>
              <w:t>运行评价</w:t>
            </w:r>
            <w:r>
              <w:rPr>
                <w:rFonts w:hint="eastAsia" w:ascii="仿宋_GB2312" w:hAnsi="仿宋_GB2312" w:eastAsia="仿宋_GB2312"/>
                <w:b w:val="0"/>
                <w:sz w:val="18"/>
                <w:lang w:eastAsia="zh-CN"/>
              </w:rPr>
              <w:t>（</w:t>
            </w:r>
            <w:r>
              <w:rPr>
                <w:rFonts w:hint="eastAsia" w:ascii="仿宋_GB2312" w:hAnsi="仿宋_GB2312" w:eastAsia="仿宋_GB2312"/>
                <w:b w:val="0"/>
                <w:sz w:val="18"/>
                <w:lang w:val="en-US" w:eastAsia="zh-CN"/>
              </w:rPr>
              <w:t>1分）</w:t>
            </w:r>
          </w:p>
        </w:tc>
      </w:tr>
      <w:tr w14:paraId="7AA78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8C4B6D3">
            <w:pPr>
              <w:spacing w:after="0" w:line="240" w:lineRule="auto"/>
              <w:jc w:val="center"/>
            </w:pPr>
            <w:r>
              <w:rPr>
                <w:rFonts w:ascii="仿宋_GB2312" w:hAnsi="仿宋_GB2312" w:eastAsia="仿宋_GB2312"/>
                <w:b w:val="0"/>
                <w:sz w:val="18"/>
              </w:rPr>
              <w:t>3</w:t>
            </w:r>
          </w:p>
        </w:tc>
        <w:tc>
          <w:tcPr>
            <w:tcW w:w="10340" w:type="dxa"/>
            <w:vAlign w:val="center"/>
          </w:tcPr>
          <w:p w14:paraId="662630C6">
            <w:pPr>
              <w:spacing w:after="0" w:line="240" w:lineRule="auto"/>
            </w:pPr>
            <w:r>
              <w:rPr>
                <w:rFonts w:ascii="仿宋_GB2312" w:hAnsi="仿宋_GB2312" w:eastAsia="仿宋_GB2312"/>
                <w:b w:val="0"/>
                <w:sz w:val="18"/>
              </w:rPr>
              <w:t>推广光伏建筑一体化+储能系统，实现太阳能发电就地存储、就地使用，联动社区电网实现峰谷调节。</w:t>
            </w:r>
          </w:p>
        </w:tc>
        <w:tc>
          <w:tcPr>
            <w:tcW w:w="1619" w:type="dxa"/>
            <w:vAlign w:val="center"/>
          </w:tcPr>
          <w:p w14:paraId="04C376FF">
            <w:pPr>
              <w:spacing w:after="0" w:line="240" w:lineRule="auto"/>
              <w:jc w:val="center"/>
            </w:pPr>
            <w:r>
              <w:rPr>
                <w:rFonts w:ascii="仿宋_GB2312" w:hAnsi="仿宋_GB2312" w:eastAsia="仿宋_GB2312"/>
                <w:b w:val="0"/>
                <w:sz w:val="18"/>
              </w:rPr>
              <w:t>□符合 □不符合</w:t>
            </w:r>
          </w:p>
        </w:tc>
        <w:tc>
          <w:tcPr>
            <w:tcW w:w="1761" w:type="dxa"/>
            <w:vAlign w:val="center"/>
          </w:tcPr>
          <w:p w14:paraId="4CD7EB62">
            <w:pPr>
              <w:spacing w:after="0" w:line="240" w:lineRule="auto"/>
              <w:jc w:val="center"/>
            </w:pPr>
            <w:r>
              <w:rPr>
                <w:rFonts w:ascii="仿宋_GB2312" w:hAnsi="仿宋_GB2312" w:eastAsia="仿宋_GB2312"/>
                <w:b w:val="0"/>
                <w:sz w:val="18"/>
              </w:rPr>
              <w:t>运行评价</w:t>
            </w:r>
            <w:r>
              <w:rPr>
                <w:rFonts w:hint="eastAsia" w:ascii="仿宋_GB2312" w:hAnsi="仿宋_GB2312" w:eastAsia="仿宋_GB2312"/>
                <w:b w:val="0"/>
                <w:sz w:val="18"/>
                <w:lang w:eastAsia="zh-CN"/>
              </w:rPr>
              <w:t>（</w:t>
            </w:r>
            <w:r>
              <w:rPr>
                <w:rFonts w:hint="eastAsia" w:ascii="仿宋_GB2312" w:hAnsi="仿宋_GB2312" w:eastAsia="仿宋_GB2312"/>
                <w:b w:val="0"/>
                <w:sz w:val="18"/>
                <w:lang w:val="en-US" w:eastAsia="zh-CN"/>
              </w:rPr>
              <w:t>1分）</w:t>
            </w:r>
          </w:p>
        </w:tc>
      </w:tr>
    </w:tbl>
    <w:p w14:paraId="0BA8B6E1"/>
    <w:p w14:paraId="55EC6576">
      <w:pPr>
        <w:rPr>
          <w:sz w:val="28"/>
          <w:szCs w:val="28"/>
        </w:rPr>
      </w:pPr>
      <w:r>
        <w:rPr>
          <w:rFonts w:ascii="黑体" w:hAnsi="黑体" w:eastAsia="黑体"/>
          <w:b/>
          <w:sz w:val="28"/>
          <w:szCs w:val="28"/>
        </w:rPr>
        <w:t>四、智慧便利</w:t>
      </w:r>
    </w:p>
    <w:p w14:paraId="5C2A79FE">
      <w:pPr>
        <w:rPr>
          <w:rFonts w:ascii="楷体_GB2312" w:hAnsi="楷体_GB2312" w:eastAsia="楷体_GB2312"/>
          <w:b/>
          <w:bCs w:val="0"/>
          <w:sz w:val="28"/>
          <w:szCs w:val="28"/>
        </w:rPr>
      </w:pPr>
      <w:r>
        <w:rPr>
          <w:rFonts w:ascii="楷体_GB2312" w:hAnsi="楷体_GB2312" w:eastAsia="楷体_GB2312"/>
          <w:b/>
          <w:bCs w:val="0"/>
          <w:sz w:val="28"/>
          <w:szCs w:val="28"/>
        </w:rPr>
        <w:t>（一）控制项（共25条）</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0340"/>
        <w:gridCol w:w="1619"/>
        <w:gridCol w:w="1761"/>
      </w:tblGrid>
      <w:tr w14:paraId="7E96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0" w:type="dxa"/>
            <w:shd w:val="clear" w:color="auto" w:fill="F2F2F2"/>
            <w:vAlign w:val="center"/>
          </w:tcPr>
          <w:p w14:paraId="711BDCCF">
            <w:pPr>
              <w:spacing w:after="0" w:line="240" w:lineRule="auto"/>
              <w:jc w:val="center"/>
              <w:rPr>
                <w:rFonts w:ascii="黑体" w:hAnsi="黑体" w:eastAsia="黑体"/>
                <w:b/>
                <w:sz w:val="24"/>
                <w:szCs w:val="24"/>
              </w:rPr>
            </w:pPr>
            <w:r>
              <w:rPr>
                <w:rFonts w:ascii="黑体" w:hAnsi="黑体" w:eastAsia="黑体"/>
                <w:b/>
                <w:sz w:val="24"/>
                <w:szCs w:val="24"/>
              </w:rPr>
              <w:t>序号</w:t>
            </w:r>
          </w:p>
        </w:tc>
        <w:tc>
          <w:tcPr>
            <w:tcW w:w="10340" w:type="dxa"/>
            <w:shd w:val="clear" w:color="auto" w:fill="F2F2F2"/>
            <w:vAlign w:val="center"/>
          </w:tcPr>
          <w:p w14:paraId="5278020B">
            <w:pPr>
              <w:spacing w:after="0" w:line="240" w:lineRule="auto"/>
              <w:jc w:val="center"/>
              <w:rPr>
                <w:rFonts w:ascii="黑体" w:hAnsi="黑体" w:eastAsia="黑体"/>
                <w:b/>
                <w:sz w:val="24"/>
                <w:szCs w:val="24"/>
              </w:rPr>
            </w:pPr>
            <w:r>
              <w:rPr>
                <w:rFonts w:ascii="黑体" w:hAnsi="黑体" w:eastAsia="黑体"/>
                <w:b/>
                <w:sz w:val="24"/>
                <w:szCs w:val="24"/>
              </w:rPr>
              <w:t>控制项内容</w:t>
            </w:r>
          </w:p>
        </w:tc>
        <w:tc>
          <w:tcPr>
            <w:tcW w:w="1619" w:type="dxa"/>
            <w:shd w:val="clear" w:color="auto" w:fill="F2F2F2"/>
            <w:vAlign w:val="center"/>
          </w:tcPr>
          <w:p w14:paraId="125976F3">
            <w:pPr>
              <w:spacing w:after="0" w:line="240" w:lineRule="auto"/>
              <w:jc w:val="center"/>
              <w:rPr>
                <w:rFonts w:ascii="黑体" w:hAnsi="黑体" w:eastAsia="黑体"/>
                <w:b/>
                <w:sz w:val="24"/>
                <w:szCs w:val="24"/>
              </w:rPr>
            </w:pPr>
            <w:r>
              <w:rPr>
                <w:rFonts w:ascii="黑体" w:hAnsi="黑体" w:eastAsia="黑体"/>
                <w:b/>
                <w:sz w:val="24"/>
                <w:szCs w:val="24"/>
              </w:rPr>
              <w:t>自查结果</w:t>
            </w:r>
          </w:p>
        </w:tc>
        <w:tc>
          <w:tcPr>
            <w:tcW w:w="1761" w:type="dxa"/>
            <w:shd w:val="clear" w:color="auto" w:fill="F2F2F2"/>
            <w:vAlign w:val="center"/>
          </w:tcPr>
          <w:p w14:paraId="03618B3D">
            <w:pPr>
              <w:spacing w:after="0" w:line="240" w:lineRule="auto"/>
              <w:jc w:val="center"/>
              <w:rPr>
                <w:rFonts w:ascii="黑体" w:hAnsi="黑体" w:eastAsia="黑体"/>
                <w:b/>
                <w:sz w:val="24"/>
                <w:szCs w:val="24"/>
              </w:rPr>
            </w:pPr>
            <w:r>
              <w:rPr>
                <w:rFonts w:ascii="黑体" w:hAnsi="黑体" w:eastAsia="黑体"/>
                <w:b/>
                <w:sz w:val="24"/>
                <w:szCs w:val="24"/>
              </w:rPr>
              <w:t>备注</w:t>
            </w:r>
          </w:p>
        </w:tc>
      </w:tr>
      <w:tr w14:paraId="4A1C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83EC785">
            <w:pPr>
              <w:spacing w:after="0" w:line="240" w:lineRule="auto"/>
              <w:jc w:val="center"/>
            </w:pPr>
            <w:r>
              <w:rPr>
                <w:rFonts w:ascii="仿宋_GB2312" w:hAnsi="仿宋_GB2312" w:eastAsia="仿宋_GB2312"/>
                <w:b w:val="0"/>
                <w:sz w:val="18"/>
              </w:rPr>
              <w:t>1</w:t>
            </w:r>
          </w:p>
        </w:tc>
        <w:tc>
          <w:tcPr>
            <w:tcW w:w="10340" w:type="dxa"/>
            <w:vAlign w:val="center"/>
          </w:tcPr>
          <w:p w14:paraId="7C504E85">
            <w:pPr>
              <w:spacing w:after="0" w:line="240" w:lineRule="auto"/>
            </w:pPr>
            <w:r>
              <w:rPr>
                <w:rFonts w:ascii="仿宋_GB2312" w:hAnsi="仿宋_GB2312" w:eastAsia="仿宋_GB2312"/>
                <w:b w:val="0"/>
                <w:sz w:val="18"/>
              </w:rPr>
              <w:t>好房子应满足全龄化使用需求，营造全龄友好的生活环境，为老年人、儿童提供便利安全的居住空间、公共设施和无障碍出行环境；并应符合下列要求：①居住区应选择交通便利的区域，便于居民出行和物资运输，并应考虑公共交通的可达性和便利性；②集中绿地、活动场地等区域应设置轮椅坡道及引导标识，景观路与广场内需预留轮椅停留空间。</w:t>
            </w:r>
          </w:p>
        </w:tc>
        <w:tc>
          <w:tcPr>
            <w:tcW w:w="1619" w:type="dxa"/>
            <w:vAlign w:val="center"/>
          </w:tcPr>
          <w:p w14:paraId="5C752C59">
            <w:pPr>
              <w:spacing w:after="0" w:line="240" w:lineRule="auto"/>
              <w:jc w:val="center"/>
            </w:pPr>
            <w:r>
              <w:rPr>
                <w:rFonts w:ascii="仿宋_GB2312" w:hAnsi="仿宋_GB2312" w:eastAsia="仿宋_GB2312"/>
                <w:b w:val="0"/>
                <w:sz w:val="18"/>
              </w:rPr>
              <w:t>□符合 □不符合</w:t>
            </w:r>
          </w:p>
        </w:tc>
        <w:tc>
          <w:tcPr>
            <w:tcW w:w="1761" w:type="dxa"/>
            <w:vAlign w:val="center"/>
          </w:tcPr>
          <w:p w14:paraId="1FA2C0EF">
            <w:pPr>
              <w:spacing w:after="0" w:line="240" w:lineRule="auto"/>
            </w:pPr>
          </w:p>
        </w:tc>
      </w:tr>
      <w:tr w14:paraId="1C1A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564D280">
            <w:pPr>
              <w:spacing w:after="0" w:line="240" w:lineRule="auto"/>
              <w:jc w:val="center"/>
            </w:pPr>
            <w:r>
              <w:rPr>
                <w:rFonts w:ascii="仿宋_GB2312" w:hAnsi="仿宋_GB2312" w:eastAsia="仿宋_GB2312"/>
                <w:b w:val="0"/>
                <w:sz w:val="18"/>
              </w:rPr>
              <w:t>2</w:t>
            </w:r>
          </w:p>
        </w:tc>
        <w:tc>
          <w:tcPr>
            <w:tcW w:w="10340" w:type="dxa"/>
            <w:vAlign w:val="center"/>
          </w:tcPr>
          <w:p w14:paraId="520AC2B0">
            <w:pPr>
              <w:spacing w:after="0" w:line="240" w:lineRule="auto"/>
            </w:pPr>
            <w:r>
              <w:rPr>
                <w:rFonts w:ascii="仿宋_GB2312" w:hAnsi="仿宋_GB2312" w:eastAsia="仿宋_GB2312"/>
                <w:b w:val="0"/>
                <w:sz w:val="18"/>
              </w:rPr>
              <w:t>居住区交通组织应符合下列要求：①实行人车分流，道路需与市政道路衔接合理；②应构建绿色出行系统，人行系统应与城市人行道、非机动车道、公共交通站点等慢行系统顺畅衔接；③建筑、室外场地、公共绿地与城市道路之间应设置连贯的无障碍步行系统；④人行系统应便捷联系学校、幼儿园等教育配套设施；⑤车行道路应满足消防、急救及运输车辆的通行要求；⑥集中绿地、活动场地等区域应设置轮椅坡道及引导标识，景观路与广场内需预留轮椅停留空间。</w:t>
            </w:r>
          </w:p>
        </w:tc>
        <w:tc>
          <w:tcPr>
            <w:tcW w:w="1619" w:type="dxa"/>
            <w:vAlign w:val="center"/>
          </w:tcPr>
          <w:p w14:paraId="59C225EF">
            <w:pPr>
              <w:spacing w:after="0" w:line="240" w:lineRule="auto"/>
              <w:jc w:val="center"/>
            </w:pPr>
            <w:r>
              <w:rPr>
                <w:rFonts w:ascii="仿宋_GB2312" w:hAnsi="仿宋_GB2312" w:eastAsia="仿宋_GB2312"/>
                <w:b w:val="0"/>
                <w:sz w:val="18"/>
              </w:rPr>
              <w:t>□符合 □不符合</w:t>
            </w:r>
          </w:p>
        </w:tc>
        <w:tc>
          <w:tcPr>
            <w:tcW w:w="1761" w:type="dxa"/>
            <w:vAlign w:val="center"/>
          </w:tcPr>
          <w:p w14:paraId="40032175">
            <w:pPr>
              <w:spacing w:after="0" w:line="240" w:lineRule="auto"/>
            </w:pPr>
          </w:p>
        </w:tc>
      </w:tr>
      <w:tr w14:paraId="4B4AA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DB06C5E">
            <w:pPr>
              <w:spacing w:after="0" w:line="240" w:lineRule="auto"/>
              <w:jc w:val="center"/>
            </w:pPr>
            <w:r>
              <w:rPr>
                <w:rFonts w:ascii="仿宋_GB2312" w:hAnsi="仿宋_GB2312" w:eastAsia="仿宋_GB2312"/>
                <w:b w:val="0"/>
                <w:sz w:val="18"/>
              </w:rPr>
              <w:t>3</w:t>
            </w:r>
          </w:p>
        </w:tc>
        <w:tc>
          <w:tcPr>
            <w:tcW w:w="10340" w:type="dxa"/>
            <w:vAlign w:val="center"/>
          </w:tcPr>
          <w:p w14:paraId="3F3F4D18">
            <w:pPr>
              <w:spacing w:after="0" w:line="240" w:lineRule="auto"/>
            </w:pPr>
            <w:r>
              <w:rPr>
                <w:rFonts w:ascii="仿宋_GB2312" w:hAnsi="仿宋_GB2312" w:eastAsia="仿宋_GB2312"/>
                <w:b w:val="0"/>
                <w:sz w:val="18"/>
              </w:rPr>
              <w:t>居住区周边公共服务设施应完善，市政配套条件应齐全。</w:t>
            </w:r>
          </w:p>
        </w:tc>
        <w:tc>
          <w:tcPr>
            <w:tcW w:w="1619" w:type="dxa"/>
            <w:vAlign w:val="center"/>
          </w:tcPr>
          <w:p w14:paraId="7B1B5A3E">
            <w:pPr>
              <w:spacing w:after="0" w:line="240" w:lineRule="auto"/>
              <w:jc w:val="center"/>
            </w:pPr>
            <w:r>
              <w:rPr>
                <w:rFonts w:ascii="仿宋_GB2312" w:hAnsi="仿宋_GB2312" w:eastAsia="仿宋_GB2312"/>
                <w:b w:val="0"/>
                <w:sz w:val="18"/>
              </w:rPr>
              <w:t>□符合 □不符合</w:t>
            </w:r>
          </w:p>
        </w:tc>
        <w:tc>
          <w:tcPr>
            <w:tcW w:w="1761" w:type="dxa"/>
            <w:vAlign w:val="center"/>
          </w:tcPr>
          <w:p w14:paraId="2A6A272B">
            <w:pPr>
              <w:spacing w:after="0" w:line="240" w:lineRule="auto"/>
            </w:pPr>
          </w:p>
        </w:tc>
      </w:tr>
      <w:tr w14:paraId="0843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9734F87">
            <w:pPr>
              <w:spacing w:after="0" w:line="240" w:lineRule="auto"/>
              <w:jc w:val="center"/>
            </w:pPr>
            <w:r>
              <w:rPr>
                <w:rFonts w:ascii="仿宋_GB2312" w:hAnsi="仿宋_GB2312" w:eastAsia="仿宋_GB2312"/>
                <w:b w:val="0"/>
                <w:sz w:val="18"/>
              </w:rPr>
              <w:t>4</w:t>
            </w:r>
          </w:p>
        </w:tc>
        <w:tc>
          <w:tcPr>
            <w:tcW w:w="10340" w:type="dxa"/>
            <w:vAlign w:val="center"/>
          </w:tcPr>
          <w:p w14:paraId="39DD5BE6">
            <w:pPr>
              <w:spacing w:after="0" w:line="240" w:lineRule="auto"/>
            </w:pPr>
            <w:r>
              <w:rPr>
                <w:rFonts w:ascii="仿宋_GB2312" w:hAnsi="仿宋_GB2312" w:eastAsia="仿宋_GB2312"/>
                <w:b w:val="0"/>
                <w:sz w:val="18"/>
              </w:rPr>
              <w:t>居住区内配套设置应符合下列要求：①物业管理用房按总建筑面积3‰的配置，且≥100m²；②老年服务用房按人均用地≥0.1m²的标准配套建设；③应设置社区服务、公共厕所、社区卫生服务站、文化活动站、便利店、超市、快递服务等便民设施；④应设置保洁物业服务人员休息室，并预留保洁服务取水取电点、保洁设备充电区域。</w:t>
            </w:r>
          </w:p>
        </w:tc>
        <w:tc>
          <w:tcPr>
            <w:tcW w:w="1619" w:type="dxa"/>
            <w:vAlign w:val="center"/>
          </w:tcPr>
          <w:p w14:paraId="01200E34">
            <w:pPr>
              <w:spacing w:after="0" w:line="240" w:lineRule="auto"/>
              <w:jc w:val="center"/>
            </w:pPr>
            <w:r>
              <w:rPr>
                <w:rFonts w:ascii="仿宋_GB2312" w:hAnsi="仿宋_GB2312" w:eastAsia="仿宋_GB2312"/>
                <w:b w:val="0"/>
                <w:sz w:val="18"/>
              </w:rPr>
              <w:t>□符合 □不符合</w:t>
            </w:r>
          </w:p>
        </w:tc>
        <w:tc>
          <w:tcPr>
            <w:tcW w:w="1761" w:type="dxa"/>
            <w:vAlign w:val="center"/>
          </w:tcPr>
          <w:p w14:paraId="0A72081E">
            <w:pPr>
              <w:spacing w:after="0" w:line="240" w:lineRule="auto"/>
            </w:pPr>
          </w:p>
        </w:tc>
      </w:tr>
      <w:tr w14:paraId="4FC5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57CD1F1">
            <w:pPr>
              <w:spacing w:after="0" w:line="240" w:lineRule="auto"/>
              <w:jc w:val="center"/>
            </w:pPr>
            <w:r>
              <w:rPr>
                <w:rFonts w:ascii="仿宋_GB2312" w:hAnsi="仿宋_GB2312" w:eastAsia="仿宋_GB2312"/>
                <w:b w:val="0"/>
                <w:sz w:val="18"/>
              </w:rPr>
              <w:t>5</w:t>
            </w:r>
          </w:p>
        </w:tc>
        <w:tc>
          <w:tcPr>
            <w:tcW w:w="10340" w:type="dxa"/>
            <w:vAlign w:val="center"/>
          </w:tcPr>
          <w:p w14:paraId="5F1199DA">
            <w:pPr>
              <w:spacing w:after="0" w:line="240" w:lineRule="auto"/>
            </w:pPr>
            <w:r>
              <w:rPr>
                <w:rFonts w:ascii="仿宋_GB2312" w:hAnsi="仿宋_GB2312" w:eastAsia="仿宋_GB2312"/>
                <w:b w:val="0"/>
                <w:sz w:val="18"/>
              </w:rPr>
              <w:t>套内空间设计应满足生活便利需求，并符合下列要求：①套型入户空间应满足换鞋、挂衣、放伞、放置随身小物件等收纳功能，以及简单清洁、消毒的使用需求；②厨房应为热水器、洗碗机、烤箱、微波炉、冰箱、消毒柜预留位置；③所有起居室（厅）、卧室等供人员休息、工作、娱乐的房间均应安装空调，并预留专用插座与空调孔；④生活阳台进深≥1.50m，并应预留电气插座；阳台放置洗衣机时，应预留净尺寸≥0.80m×0.80m的空间，同时留设洗衣机专用插座和给排水点位。</w:t>
            </w:r>
          </w:p>
        </w:tc>
        <w:tc>
          <w:tcPr>
            <w:tcW w:w="1619" w:type="dxa"/>
            <w:vAlign w:val="center"/>
          </w:tcPr>
          <w:p w14:paraId="51008605">
            <w:pPr>
              <w:spacing w:after="0" w:line="240" w:lineRule="auto"/>
              <w:jc w:val="center"/>
            </w:pPr>
            <w:r>
              <w:rPr>
                <w:rFonts w:ascii="仿宋_GB2312" w:hAnsi="仿宋_GB2312" w:eastAsia="仿宋_GB2312"/>
                <w:b w:val="0"/>
                <w:sz w:val="18"/>
              </w:rPr>
              <w:t>□符合 □不符合</w:t>
            </w:r>
          </w:p>
        </w:tc>
        <w:tc>
          <w:tcPr>
            <w:tcW w:w="1761" w:type="dxa"/>
            <w:vAlign w:val="center"/>
          </w:tcPr>
          <w:p w14:paraId="096CC7CA">
            <w:pPr>
              <w:spacing w:after="0" w:line="240" w:lineRule="auto"/>
            </w:pPr>
          </w:p>
        </w:tc>
      </w:tr>
      <w:tr w14:paraId="1346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783F5C7">
            <w:pPr>
              <w:spacing w:after="0" w:line="240" w:lineRule="auto"/>
              <w:jc w:val="center"/>
            </w:pPr>
            <w:r>
              <w:rPr>
                <w:rFonts w:ascii="仿宋_GB2312" w:hAnsi="仿宋_GB2312" w:eastAsia="仿宋_GB2312"/>
                <w:b w:val="0"/>
                <w:sz w:val="18"/>
              </w:rPr>
              <w:t>6</w:t>
            </w:r>
          </w:p>
        </w:tc>
        <w:tc>
          <w:tcPr>
            <w:tcW w:w="10340" w:type="dxa"/>
            <w:vAlign w:val="center"/>
          </w:tcPr>
          <w:p w14:paraId="59C3AE28">
            <w:pPr>
              <w:spacing w:after="0" w:line="240" w:lineRule="auto"/>
            </w:pPr>
            <w:r>
              <w:rPr>
                <w:rFonts w:ascii="仿宋_GB2312" w:hAnsi="仿宋_GB2312" w:eastAsia="仿宋_GB2312"/>
                <w:b w:val="0"/>
                <w:sz w:val="18"/>
              </w:rPr>
              <w:t>电梯的设置应符合下列规定：①最高入户层为4层及4层以上的住宅，或最高入户层楼面距室外设计地面高度超过9m时，每个单元至少设置1台可容纳担架的电梯，担架电梯候梯厅深度≥1.80m；②最高入户层为12层及12层以上的住宅，或最高入户层楼面距室外设计地面高度超过33m时，每个单元应至少设置两部电梯；③候梯厅深度不应小于多台电梯中最大轿厢深度，且≥1.80m；④电梯候梯厅和楼梯平台共享时，平台深度≥2.10m。</w:t>
            </w:r>
          </w:p>
        </w:tc>
        <w:tc>
          <w:tcPr>
            <w:tcW w:w="1619" w:type="dxa"/>
            <w:vAlign w:val="center"/>
          </w:tcPr>
          <w:p w14:paraId="6A9F79F7">
            <w:pPr>
              <w:spacing w:after="0" w:line="240" w:lineRule="auto"/>
              <w:jc w:val="center"/>
            </w:pPr>
            <w:r>
              <w:rPr>
                <w:rFonts w:ascii="仿宋_GB2312" w:hAnsi="仿宋_GB2312" w:eastAsia="仿宋_GB2312"/>
                <w:b w:val="0"/>
                <w:sz w:val="18"/>
              </w:rPr>
              <w:t>□符合 □不符合</w:t>
            </w:r>
          </w:p>
        </w:tc>
        <w:tc>
          <w:tcPr>
            <w:tcW w:w="1761" w:type="dxa"/>
            <w:vAlign w:val="center"/>
          </w:tcPr>
          <w:p w14:paraId="5297F3FE">
            <w:pPr>
              <w:spacing w:after="0" w:line="240" w:lineRule="auto"/>
            </w:pPr>
          </w:p>
        </w:tc>
      </w:tr>
      <w:tr w14:paraId="3576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471C4A0">
            <w:pPr>
              <w:spacing w:after="0" w:line="240" w:lineRule="auto"/>
              <w:jc w:val="center"/>
            </w:pPr>
            <w:r>
              <w:rPr>
                <w:rFonts w:ascii="仿宋_GB2312" w:hAnsi="仿宋_GB2312" w:eastAsia="仿宋_GB2312"/>
                <w:b w:val="0"/>
                <w:sz w:val="18"/>
              </w:rPr>
              <w:t>7</w:t>
            </w:r>
          </w:p>
        </w:tc>
        <w:tc>
          <w:tcPr>
            <w:tcW w:w="10340" w:type="dxa"/>
            <w:vAlign w:val="center"/>
          </w:tcPr>
          <w:p w14:paraId="2070FCC3">
            <w:pPr>
              <w:spacing w:after="0" w:line="240" w:lineRule="auto"/>
            </w:pPr>
            <w:r>
              <w:rPr>
                <w:rFonts w:ascii="仿宋_GB2312" w:hAnsi="仿宋_GB2312" w:eastAsia="仿宋_GB2312"/>
                <w:b w:val="0"/>
                <w:sz w:val="18"/>
              </w:rPr>
              <w:t>机动车与非机动车布局应符合下列规定：①应合理规划非机动车停车场所，配建标准不低于2车位/户；②机动车配建数量应满足当地城市规划要求；③具备充电条件的停车位数量≥停车位总数的15%，并100%预留充电设施安装条件；④结合出入口应设置访客临时停车位。</w:t>
            </w:r>
          </w:p>
        </w:tc>
        <w:tc>
          <w:tcPr>
            <w:tcW w:w="1619" w:type="dxa"/>
            <w:vAlign w:val="center"/>
          </w:tcPr>
          <w:p w14:paraId="2D1AAF39">
            <w:pPr>
              <w:spacing w:after="0" w:line="240" w:lineRule="auto"/>
              <w:jc w:val="center"/>
            </w:pPr>
            <w:r>
              <w:rPr>
                <w:rFonts w:ascii="仿宋_GB2312" w:hAnsi="仿宋_GB2312" w:eastAsia="仿宋_GB2312"/>
                <w:b w:val="0"/>
                <w:sz w:val="18"/>
              </w:rPr>
              <w:t>□符合 □不符合</w:t>
            </w:r>
          </w:p>
        </w:tc>
        <w:tc>
          <w:tcPr>
            <w:tcW w:w="1761" w:type="dxa"/>
            <w:vAlign w:val="center"/>
          </w:tcPr>
          <w:p w14:paraId="63E6A1D2">
            <w:pPr>
              <w:spacing w:after="0" w:line="240" w:lineRule="auto"/>
            </w:pPr>
          </w:p>
        </w:tc>
      </w:tr>
      <w:tr w14:paraId="0D03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AF35D8E">
            <w:pPr>
              <w:spacing w:after="0" w:line="240" w:lineRule="auto"/>
              <w:jc w:val="center"/>
            </w:pPr>
            <w:r>
              <w:rPr>
                <w:rFonts w:ascii="仿宋_GB2312" w:hAnsi="仿宋_GB2312" w:eastAsia="仿宋_GB2312"/>
                <w:b w:val="0"/>
                <w:sz w:val="18"/>
              </w:rPr>
              <w:t>8</w:t>
            </w:r>
          </w:p>
        </w:tc>
        <w:tc>
          <w:tcPr>
            <w:tcW w:w="10340" w:type="dxa"/>
            <w:vAlign w:val="center"/>
          </w:tcPr>
          <w:p w14:paraId="5B59E25B">
            <w:pPr>
              <w:spacing w:after="0" w:line="240" w:lineRule="auto"/>
            </w:pPr>
            <w:r>
              <w:rPr>
                <w:rFonts w:ascii="仿宋_GB2312" w:hAnsi="仿宋_GB2312" w:eastAsia="仿宋_GB2312"/>
                <w:b w:val="0"/>
                <w:sz w:val="18"/>
              </w:rPr>
              <w:t>地下汽车库设计应符合下列规定：①当车库内部设置尽端式车道时，车道长度不应大于30m，且尽端处停车位应预留倒车空间；②行车道应视线良好，车行道转角处不宜设置通长连续的墙体；当不得不设置防火墙等连续墙体时，应将墙体偏离车行道一跨及以上，或将影响行车视线的隔墙改为卷帘；③停车位空间不应影响疏散通道、集水坑及开启后的人防门、防火门（含设备管井门）；④地下汽车库通向住宅地下门厅的人行通道，人行通道宽度不应小于1.10m；⑤地下汽车库结构柱、管线及消火栓布置不得影响车位使用，集水坑不应设置在行车道及人行归家路线上，并应避开停车位；⑥车库规模较大时，应用颜色分区标识停车区域；⑦应设置楼栋单元引导标识，居民应能从地下机动车库直接到达小区内的每个住宅单元；⑧车库防火卷帘不应影响车位使用，防火卷帘侧面应设置≥0.40m的墙垛作为收口；防火卷帘洞口上方应预留足够尺寸，满足设备安装要求。</w:t>
            </w:r>
            <w:r>
              <w:rPr>
                <w:rFonts w:hint="eastAsia" w:ascii="仿宋_GB2312" w:hAnsi="仿宋_GB2312" w:eastAsia="仿宋_GB2312"/>
                <w:b w:val="0"/>
                <w:sz w:val="18"/>
                <w:lang w:val="en-US" w:eastAsia="zh-CN"/>
              </w:rPr>
              <w:t>⑨应设置楼栋单元引导标识，居民应能从地下机动车库直接到达小区内的每个住宅单元。</w:t>
            </w:r>
          </w:p>
        </w:tc>
        <w:tc>
          <w:tcPr>
            <w:tcW w:w="1619" w:type="dxa"/>
            <w:vAlign w:val="center"/>
          </w:tcPr>
          <w:p w14:paraId="3225D138">
            <w:pPr>
              <w:spacing w:after="0" w:line="240" w:lineRule="auto"/>
              <w:jc w:val="center"/>
            </w:pPr>
            <w:r>
              <w:rPr>
                <w:rFonts w:ascii="仿宋_GB2312" w:hAnsi="仿宋_GB2312" w:eastAsia="仿宋_GB2312"/>
                <w:b w:val="0"/>
                <w:sz w:val="18"/>
              </w:rPr>
              <w:t>□符合 □不符合</w:t>
            </w:r>
          </w:p>
        </w:tc>
        <w:tc>
          <w:tcPr>
            <w:tcW w:w="1761" w:type="dxa"/>
            <w:vAlign w:val="center"/>
          </w:tcPr>
          <w:p w14:paraId="651252C7">
            <w:pPr>
              <w:spacing w:after="0" w:line="240" w:lineRule="auto"/>
            </w:pPr>
          </w:p>
        </w:tc>
      </w:tr>
      <w:tr w14:paraId="511B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40B87BE">
            <w:pPr>
              <w:spacing w:after="0" w:line="240" w:lineRule="auto"/>
              <w:jc w:val="center"/>
            </w:pPr>
            <w:r>
              <w:rPr>
                <w:rFonts w:ascii="仿宋_GB2312" w:hAnsi="仿宋_GB2312" w:eastAsia="仿宋_GB2312"/>
                <w:b w:val="0"/>
                <w:sz w:val="18"/>
              </w:rPr>
              <w:t>9</w:t>
            </w:r>
          </w:p>
        </w:tc>
        <w:tc>
          <w:tcPr>
            <w:tcW w:w="10340" w:type="dxa"/>
            <w:vAlign w:val="center"/>
          </w:tcPr>
          <w:p w14:paraId="76336237">
            <w:pPr>
              <w:spacing w:after="0" w:line="240" w:lineRule="auto"/>
            </w:pPr>
            <w:r>
              <w:rPr>
                <w:rFonts w:ascii="仿宋_GB2312" w:hAnsi="仿宋_GB2312" w:eastAsia="仿宋_GB2312"/>
                <w:b w:val="0"/>
                <w:sz w:val="18"/>
              </w:rPr>
              <w:t>首层生活排水单独排出建筑外；公共空间内的给水总立管设置在水井内。</w:t>
            </w:r>
          </w:p>
        </w:tc>
        <w:tc>
          <w:tcPr>
            <w:tcW w:w="1619" w:type="dxa"/>
            <w:vAlign w:val="center"/>
          </w:tcPr>
          <w:p w14:paraId="6E5DCEAE">
            <w:pPr>
              <w:spacing w:after="0" w:line="240" w:lineRule="auto"/>
              <w:jc w:val="center"/>
            </w:pPr>
            <w:r>
              <w:rPr>
                <w:rFonts w:ascii="仿宋_GB2312" w:hAnsi="仿宋_GB2312" w:eastAsia="仿宋_GB2312"/>
                <w:b w:val="0"/>
                <w:sz w:val="18"/>
              </w:rPr>
              <w:t>□符合 □不符合</w:t>
            </w:r>
          </w:p>
        </w:tc>
        <w:tc>
          <w:tcPr>
            <w:tcW w:w="1761" w:type="dxa"/>
            <w:vAlign w:val="center"/>
          </w:tcPr>
          <w:p w14:paraId="04C57AFE">
            <w:pPr>
              <w:spacing w:after="0" w:line="240" w:lineRule="auto"/>
            </w:pPr>
          </w:p>
        </w:tc>
      </w:tr>
      <w:tr w14:paraId="2F6F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2B33A17">
            <w:pPr>
              <w:spacing w:after="0" w:line="240" w:lineRule="auto"/>
              <w:jc w:val="center"/>
            </w:pPr>
            <w:r>
              <w:rPr>
                <w:rFonts w:ascii="仿宋_GB2312" w:hAnsi="仿宋_GB2312" w:eastAsia="仿宋_GB2312"/>
                <w:b w:val="0"/>
                <w:sz w:val="18"/>
              </w:rPr>
              <w:t>10</w:t>
            </w:r>
          </w:p>
        </w:tc>
        <w:tc>
          <w:tcPr>
            <w:tcW w:w="10340" w:type="dxa"/>
            <w:vAlign w:val="center"/>
          </w:tcPr>
          <w:p w14:paraId="4B2159E9">
            <w:pPr>
              <w:spacing w:after="0" w:line="240" w:lineRule="auto"/>
            </w:pPr>
            <w:r>
              <w:rPr>
                <w:rFonts w:ascii="仿宋_GB2312" w:hAnsi="仿宋_GB2312" w:eastAsia="仿宋_GB2312"/>
                <w:b w:val="0"/>
                <w:sz w:val="18"/>
              </w:rPr>
              <w:t>套内预留足够水电点位和智能接口，适配空间多样化配置。</w:t>
            </w:r>
          </w:p>
        </w:tc>
        <w:tc>
          <w:tcPr>
            <w:tcW w:w="1619" w:type="dxa"/>
            <w:vAlign w:val="center"/>
          </w:tcPr>
          <w:p w14:paraId="38CC6F1E">
            <w:pPr>
              <w:spacing w:after="0" w:line="240" w:lineRule="auto"/>
              <w:jc w:val="center"/>
            </w:pPr>
            <w:r>
              <w:rPr>
                <w:rFonts w:ascii="仿宋_GB2312" w:hAnsi="仿宋_GB2312" w:eastAsia="仿宋_GB2312"/>
                <w:b w:val="0"/>
                <w:sz w:val="18"/>
              </w:rPr>
              <w:t>□符合 □不符合</w:t>
            </w:r>
          </w:p>
        </w:tc>
        <w:tc>
          <w:tcPr>
            <w:tcW w:w="1761" w:type="dxa"/>
            <w:vAlign w:val="center"/>
          </w:tcPr>
          <w:p w14:paraId="7CD2FA34">
            <w:pPr>
              <w:spacing w:after="0" w:line="240" w:lineRule="auto"/>
            </w:pPr>
          </w:p>
        </w:tc>
      </w:tr>
      <w:tr w14:paraId="40E1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838DEFA">
            <w:pPr>
              <w:spacing w:after="0" w:line="240" w:lineRule="auto"/>
              <w:jc w:val="center"/>
            </w:pPr>
            <w:r>
              <w:rPr>
                <w:rFonts w:ascii="仿宋_GB2312" w:hAnsi="仿宋_GB2312" w:eastAsia="仿宋_GB2312"/>
                <w:b w:val="0"/>
                <w:sz w:val="18"/>
              </w:rPr>
              <w:t>11</w:t>
            </w:r>
          </w:p>
        </w:tc>
        <w:tc>
          <w:tcPr>
            <w:tcW w:w="10340" w:type="dxa"/>
            <w:vAlign w:val="center"/>
          </w:tcPr>
          <w:p w14:paraId="5FA9CAA0">
            <w:pPr>
              <w:spacing w:after="0" w:line="240" w:lineRule="auto"/>
            </w:pPr>
            <w:r>
              <w:rPr>
                <w:rFonts w:ascii="仿宋_GB2312" w:hAnsi="仿宋_GB2312" w:eastAsia="仿宋_GB2312"/>
                <w:b w:val="0"/>
                <w:sz w:val="18"/>
              </w:rPr>
              <w:t>供配电设计应满足用电安全及使用便利性要求，并应满足下列规定：①门厅应设置应急救护插座，并具有显著标识；②地下汽车库应预留物业维修、维护专用设备的电源插座；③居住区楼栋编号标识电源应引自楼栋公共配电箱，实现独立控制；④应采用低烟无卤铜芯电线电缆。</w:t>
            </w:r>
          </w:p>
        </w:tc>
        <w:tc>
          <w:tcPr>
            <w:tcW w:w="1619" w:type="dxa"/>
            <w:vAlign w:val="center"/>
          </w:tcPr>
          <w:p w14:paraId="0A45AD91">
            <w:pPr>
              <w:spacing w:after="0" w:line="240" w:lineRule="auto"/>
              <w:jc w:val="center"/>
            </w:pPr>
            <w:r>
              <w:rPr>
                <w:rFonts w:ascii="仿宋_GB2312" w:hAnsi="仿宋_GB2312" w:eastAsia="仿宋_GB2312"/>
                <w:b w:val="0"/>
                <w:sz w:val="18"/>
              </w:rPr>
              <w:t>□符合 □不符合</w:t>
            </w:r>
          </w:p>
        </w:tc>
        <w:tc>
          <w:tcPr>
            <w:tcW w:w="1761" w:type="dxa"/>
            <w:vAlign w:val="center"/>
          </w:tcPr>
          <w:p w14:paraId="2C8ADE84">
            <w:pPr>
              <w:spacing w:after="0" w:line="240" w:lineRule="auto"/>
            </w:pPr>
          </w:p>
        </w:tc>
      </w:tr>
      <w:tr w14:paraId="026E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D38C953">
            <w:pPr>
              <w:spacing w:after="0" w:line="240" w:lineRule="auto"/>
              <w:jc w:val="center"/>
            </w:pPr>
            <w:r>
              <w:rPr>
                <w:rFonts w:ascii="仿宋_GB2312" w:hAnsi="仿宋_GB2312" w:eastAsia="仿宋_GB2312"/>
                <w:b w:val="0"/>
                <w:sz w:val="18"/>
              </w:rPr>
              <w:t>12</w:t>
            </w:r>
          </w:p>
        </w:tc>
        <w:tc>
          <w:tcPr>
            <w:tcW w:w="10340" w:type="dxa"/>
            <w:vAlign w:val="center"/>
          </w:tcPr>
          <w:p w14:paraId="4CDC57B1">
            <w:pPr>
              <w:spacing w:after="0" w:line="240" w:lineRule="auto"/>
            </w:pPr>
            <w:r>
              <w:rPr>
                <w:rFonts w:ascii="仿宋_GB2312" w:hAnsi="仿宋_GB2312" w:eastAsia="仿宋_GB2312"/>
                <w:b w:val="0"/>
                <w:sz w:val="18"/>
              </w:rPr>
              <w:t>户内电源插座的设置数量应结合家用电器配置需求，满足用电安全及使用便利性要求，并应满足下列规定：①设置在入户区域的智能家居控制设备的电源插座、冰箱电源插座应单独设置供电回路；②厨房洗涤盆下方、卫生间洗手池下方、坐便器附近设置电源插座；③洗碗机、消毒柜、直饮水管线机、智能清扫机器人等固定用电设备安装位置应设置与设备安装高度适配的电源插座，晾晒空间应设置适配电动晾衣架安装高度的电源插座，窗帘盒附近应设置适配智能窗帘电机安装高度的电源插座；④阳台应设置节日彩灯用电源插座，起居室（厅）、卧室应预留适配智能设备的电源插座；⑤入户空间预留不少于2个电源插座；⑥可变空间内应预留不少于4个电源插座，且插座间距不应大于3.00m，预留回路载流量不应小于20A；⑦所有灯具开关盒内应预留中性导体，预留线截面不应小于2.5mm²。</w:t>
            </w:r>
          </w:p>
        </w:tc>
        <w:tc>
          <w:tcPr>
            <w:tcW w:w="1619" w:type="dxa"/>
            <w:vAlign w:val="center"/>
          </w:tcPr>
          <w:p w14:paraId="2F8FCDCD">
            <w:pPr>
              <w:spacing w:after="0" w:line="240" w:lineRule="auto"/>
              <w:jc w:val="center"/>
            </w:pPr>
            <w:r>
              <w:rPr>
                <w:rFonts w:ascii="仿宋_GB2312" w:hAnsi="仿宋_GB2312" w:eastAsia="仿宋_GB2312"/>
                <w:b w:val="0"/>
                <w:sz w:val="18"/>
              </w:rPr>
              <w:t>□符合 □不符合</w:t>
            </w:r>
          </w:p>
        </w:tc>
        <w:tc>
          <w:tcPr>
            <w:tcW w:w="1761" w:type="dxa"/>
            <w:vAlign w:val="center"/>
          </w:tcPr>
          <w:p w14:paraId="3FB15025">
            <w:pPr>
              <w:spacing w:after="0" w:line="240" w:lineRule="auto"/>
            </w:pPr>
          </w:p>
        </w:tc>
      </w:tr>
      <w:tr w14:paraId="6277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6A90B68">
            <w:pPr>
              <w:spacing w:after="0" w:line="240" w:lineRule="auto"/>
              <w:jc w:val="center"/>
            </w:pPr>
            <w:r>
              <w:rPr>
                <w:rFonts w:ascii="仿宋_GB2312" w:hAnsi="仿宋_GB2312" w:eastAsia="仿宋_GB2312"/>
                <w:b w:val="0"/>
                <w:sz w:val="18"/>
              </w:rPr>
              <w:t>13</w:t>
            </w:r>
          </w:p>
        </w:tc>
        <w:tc>
          <w:tcPr>
            <w:tcW w:w="10340" w:type="dxa"/>
            <w:vAlign w:val="center"/>
          </w:tcPr>
          <w:p w14:paraId="74D42EB0">
            <w:pPr>
              <w:spacing w:after="0" w:line="240" w:lineRule="auto"/>
            </w:pPr>
            <w:r>
              <w:rPr>
                <w:rFonts w:ascii="仿宋_GB2312" w:hAnsi="仿宋_GB2312" w:eastAsia="仿宋_GB2312"/>
                <w:b w:val="0"/>
                <w:sz w:val="18"/>
              </w:rPr>
              <w:t>智能化设计兼顾便捷性和安全性，实现与智能家居、智慧物业等的集成；并应符合下列规定：①室外人员集中活动场所、有吊顶的门厅设置公共广播系统，公共广播系统与消防应急广播分开设置；②首层入户门厅应设置信息引导及发布系统；③居住区设置无线对讲系统；④居住区应设置视频监控系统，应设置防高空抛物摄像机，分辨率不应低于400万像素，并有避免采集个人隐私的措施；电动自行车能正常出入的单元出入口及电梯轿厢内设置电动自行车识别装置并有现场语音报警功能；⑤居住区设置出入口控制系统时，不应将人脸等生物识别凭证作为系统唯一的识别凭证，应同时支持其他识别凭证；⑥居住区应设置电子巡查系统；⑦居住区机动车出入口、机动车停车库（场）应设置停车库（场）安全管理系统；⑧住宅单元除屋面外的其他出入口都应设置主机，主要出入口应设置具有视频对讲功能的主机；主机及对讲分机应与居住区安防监控中心联网。</w:t>
            </w:r>
          </w:p>
        </w:tc>
        <w:tc>
          <w:tcPr>
            <w:tcW w:w="1619" w:type="dxa"/>
            <w:vAlign w:val="center"/>
          </w:tcPr>
          <w:p w14:paraId="24E86185">
            <w:pPr>
              <w:spacing w:after="0" w:line="240" w:lineRule="auto"/>
              <w:jc w:val="center"/>
            </w:pPr>
            <w:r>
              <w:rPr>
                <w:rFonts w:ascii="仿宋_GB2312" w:hAnsi="仿宋_GB2312" w:eastAsia="仿宋_GB2312"/>
                <w:b w:val="0"/>
                <w:sz w:val="18"/>
              </w:rPr>
              <w:t>□符合 □不符合</w:t>
            </w:r>
          </w:p>
        </w:tc>
        <w:tc>
          <w:tcPr>
            <w:tcW w:w="1761" w:type="dxa"/>
            <w:vAlign w:val="center"/>
          </w:tcPr>
          <w:p w14:paraId="3E0A72D5">
            <w:pPr>
              <w:spacing w:after="0" w:line="240" w:lineRule="auto"/>
            </w:pPr>
          </w:p>
        </w:tc>
      </w:tr>
      <w:tr w14:paraId="5043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38F8329">
            <w:pPr>
              <w:spacing w:after="0" w:line="240" w:lineRule="auto"/>
              <w:jc w:val="center"/>
            </w:pPr>
            <w:r>
              <w:rPr>
                <w:rFonts w:ascii="仿宋_GB2312" w:hAnsi="仿宋_GB2312" w:eastAsia="仿宋_GB2312"/>
                <w:b w:val="0"/>
                <w:sz w:val="18"/>
              </w:rPr>
              <w:t>14</w:t>
            </w:r>
          </w:p>
        </w:tc>
        <w:tc>
          <w:tcPr>
            <w:tcW w:w="10340" w:type="dxa"/>
            <w:vAlign w:val="center"/>
          </w:tcPr>
          <w:p w14:paraId="7AD0FDAB">
            <w:pPr>
              <w:spacing w:after="0" w:line="240" w:lineRule="auto"/>
            </w:pPr>
            <w:r>
              <w:rPr>
                <w:rFonts w:ascii="仿宋_GB2312" w:hAnsi="仿宋_GB2312" w:eastAsia="仿宋_GB2312"/>
                <w:b w:val="0"/>
                <w:sz w:val="18"/>
              </w:rPr>
              <w:t>居住区应设置安防监控中心，搭建安全防范管理平台，对各子系统统一管理和联动控制。出入口控制系统、楼寓对讲系统应开放API给智慧物业、智能家居等程序，当开放API时应独立组网。</w:t>
            </w:r>
          </w:p>
        </w:tc>
        <w:tc>
          <w:tcPr>
            <w:tcW w:w="1619" w:type="dxa"/>
            <w:vAlign w:val="center"/>
          </w:tcPr>
          <w:p w14:paraId="0765C19E">
            <w:pPr>
              <w:spacing w:after="0" w:line="240" w:lineRule="auto"/>
              <w:jc w:val="center"/>
            </w:pPr>
            <w:r>
              <w:rPr>
                <w:rFonts w:ascii="仿宋_GB2312" w:hAnsi="仿宋_GB2312" w:eastAsia="仿宋_GB2312"/>
                <w:b w:val="0"/>
                <w:sz w:val="18"/>
              </w:rPr>
              <w:t>□符合 □不符合</w:t>
            </w:r>
          </w:p>
        </w:tc>
        <w:tc>
          <w:tcPr>
            <w:tcW w:w="1761" w:type="dxa"/>
            <w:vAlign w:val="center"/>
          </w:tcPr>
          <w:p w14:paraId="202F91CA">
            <w:pPr>
              <w:spacing w:after="0" w:line="240" w:lineRule="auto"/>
            </w:pPr>
          </w:p>
        </w:tc>
      </w:tr>
      <w:tr w14:paraId="7F4F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255FD83">
            <w:pPr>
              <w:spacing w:after="0" w:line="240" w:lineRule="auto"/>
              <w:jc w:val="center"/>
            </w:pPr>
            <w:r>
              <w:rPr>
                <w:rFonts w:ascii="仿宋_GB2312" w:hAnsi="仿宋_GB2312" w:eastAsia="仿宋_GB2312"/>
                <w:b w:val="0"/>
                <w:sz w:val="18"/>
              </w:rPr>
              <w:t>15</w:t>
            </w:r>
          </w:p>
        </w:tc>
        <w:tc>
          <w:tcPr>
            <w:tcW w:w="10340" w:type="dxa"/>
            <w:vAlign w:val="center"/>
          </w:tcPr>
          <w:p w14:paraId="3DA7DAAA">
            <w:pPr>
              <w:spacing w:after="0" w:line="240" w:lineRule="auto"/>
            </w:pPr>
            <w:r>
              <w:rPr>
                <w:rFonts w:ascii="仿宋_GB2312" w:hAnsi="仿宋_GB2312" w:eastAsia="仿宋_GB2312"/>
                <w:b w:val="0"/>
                <w:sz w:val="18"/>
              </w:rPr>
              <w:t>居住区应设置建筑设备监控系统，并符合以下要求：①应监测生活水池（箱）、消防蓄水池、集水坑等水位；②应监测生活给水泵、污水泵、饮用水过滤设备、饮用水消毒设备、直饮水制水设备等的运行状态；③应监测电梯的运行状态；④设有集中式空调通风系统的居住区应监测空调通风系统的运行状态。</w:t>
            </w:r>
          </w:p>
        </w:tc>
        <w:tc>
          <w:tcPr>
            <w:tcW w:w="1619" w:type="dxa"/>
            <w:vAlign w:val="center"/>
          </w:tcPr>
          <w:p w14:paraId="5AA51862">
            <w:pPr>
              <w:spacing w:after="0" w:line="240" w:lineRule="auto"/>
              <w:jc w:val="center"/>
            </w:pPr>
            <w:r>
              <w:rPr>
                <w:rFonts w:ascii="仿宋_GB2312" w:hAnsi="仿宋_GB2312" w:eastAsia="仿宋_GB2312"/>
                <w:b w:val="0"/>
                <w:sz w:val="18"/>
              </w:rPr>
              <w:t>□符合 □不符合</w:t>
            </w:r>
          </w:p>
        </w:tc>
        <w:tc>
          <w:tcPr>
            <w:tcW w:w="1761" w:type="dxa"/>
            <w:vAlign w:val="center"/>
          </w:tcPr>
          <w:p w14:paraId="7F19D3D8">
            <w:pPr>
              <w:spacing w:after="0" w:line="240" w:lineRule="auto"/>
            </w:pPr>
          </w:p>
        </w:tc>
      </w:tr>
      <w:tr w14:paraId="31FF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6189CC6">
            <w:pPr>
              <w:spacing w:after="0" w:line="240" w:lineRule="auto"/>
              <w:jc w:val="center"/>
            </w:pPr>
            <w:r>
              <w:rPr>
                <w:rFonts w:ascii="仿宋_GB2312" w:hAnsi="仿宋_GB2312" w:eastAsia="仿宋_GB2312"/>
                <w:b w:val="0"/>
                <w:sz w:val="18"/>
              </w:rPr>
              <w:t>16</w:t>
            </w:r>
          </w:p>
        </w:tc>
        <w:tc>
          <w:tcPr>
            <w:tcW w:w="10340" w:type="dxa"/>
            <w:vAlign w:val="center"/>
          </w:tcPr>
          <w:p w14:paraId="012A3D7C">
            <w:pPr>
              <w:spacing w:after="0" w:line="240" w:lineRule="auto"/>
            </w:pPr>
            <w:r>
              <w:rPr>
                <w:rFonts w:ascii="仿宋_GB2312" w:hAnsi="仿宋_GB2312" w:eastAsia="仿宋_GB2312"/>
                <w:b w:val="0"/>
                <w:sz w:val="18"/>
              </w:rPr>
              <w:t>居住区应设置独立、封闭的信息机房，保证智能化系统核心设备的安全、稳定运行。</w:t>
            </w:r>
          </w:p>
        </w:tc>
        <w:tc>
          <w:tcPr>
            <w:tcW w:w="1619" w:type="dxa"/>
            <w:vAlign w:val="center"/>
          </w:tcPr>
          <w:p w14:paraId="4AF02CD0">
            <w:pPr>
              <w:spacing w:after="0" w:line="240" w:lineRule="auto"/>
              <w:jc w:val="center"/>
            </w:pPr>
            <w:r>
              <w:rPr>
                <w:rFonts w:ascii="仿宋_GB2312" w:hAnsi="仿宋_GB2312" w:eastAsia="仿宋_GB2312"/>
                <w:b w:val="0"/>
                <w:sz w:val="18"/>
              </w:rPr>
              <w:t>□符合 □不符合</w:t>
            </w:r>
          </w:p>
        </w:tc>
        <w:tc>
          <w:tcPr>
            <w:tcW w:w="1761" w:type="dxa"/>
            <w:vAlign w:val="center"/>
          </w:tcPr>
          <w:p w14:paraId="4064993F">
            <w:pPr>
              <w:spacing w:after="0" w:line="240" w:lineRule="auto"/>
            </w:pPr>
          </w:p>
        </w:tc>
      </w:tr>
      <w:tr w14:paraId="13EED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50" w:type="dxa"/>
            <w:vAlign w:val="center"/>
          </w:tcPr>
          <w:p w14:paraId="1C759B9F">
            <w:pPr>
              <w:spacing w:after="0" w:line="240" w:lineRule="auto"/>
              <w:jc w:val="center"/>
            </w:pPr>
            <w:r>
              <w:rPr>
                <w:rFonts w:ascii="仿宋_GB2312" w:hAnsi="仿宋_GB2312" w:eastAsia="仿宋_GB2312"/>
                <w:b w:val="0"/>
                <w:sz w:val="18"/>
              </w:rPr>
              <w:t>17</w:t>
            </w:r>
          </w:p>
        </w:tc>
        <w:tc>
          <w:tcPr>
            <w:tcW w:w="10340" w:type="dxa"/>
            <w:vAlign w:val="center"/>
          </w:tcPr>
          <w:p w14:paraId="6145ACC4">
            <w:pPr>
              <w:spacing w:after="0" w:line="240" w:lineRule="auto"/>
            </w:pPr>
            <w:r>
              <w:rPr>
                <w:rFonts w:ascii="仿宋_GB2312" w:hAnsi="仿宋_GB2312" w:eastAsia="仿宋_GB2312"/>
                <w:b w:val="0"/>
                <w:sz w:val="18"/>
              </w:rPr>
              <w:t>采集、存储个人信息应全程加密，不应在系统或公共区域公开展示个人敏感信息。应用人脸识别技术时，应采取对个人权益影响最小的方式，并实施严格保护。</w:t>
            </w:r>
          </w:p>
        </w:tc>
        <w:tc>
          <w:tcPr>
            <w:tcW w:w="1619" w:type="dxa"/>
            <w:vAlign w:val="center"/>
          </w:tcPr>
          <w:p w14:paraId="24F1BD3D">
            <w:pPr>
              <w:spacing w:after="0" w:line="240" w:lineRule="auto"/>
              <w:jc w:val="center"/>
            </w:pPr>
            <w:r>
              <w:rPr>
                <w:rFonts w:ascii="仿宋_GB2312" w:hAnsi="仿宋_GB2312" w:eastAsia="仿宋_GB2312"/>
                <w:b w:val="0"/>
                <w:sz w:val="18"/>
              </w:rPr>
              <w:t>□符合 □不符合</w:t>
            </w:r>
          </w:p>
        </w:tc>
        <w:tc>
          <w:tcPr>
            <w:tcW w:w="1761" w:type="dxa"/>
            <w:vAlign w:val="center"/>
          </w:tcPr>
          <w:p w14:paraId="7553F1AA">
            <w:pPr>
              <w:spacing w:after="0" w:line="240" w:lineRule="auto"/>
            </w:pPr>
          </w:p>
        </w:tc>
      </w:tr>
      <w:tr w14:paraId="6D50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0400CD0">
            <w:pPr>
              <w:spacing w:after="0" w:line="240" w:lineRule="auto"/>
              <w:jc w:val="center"/>
            </w:pPr>
            <w:r>
              <w:rPr>
                <w:rFonts w:ascii="仿宋_GB2312" w:hAnsi="仿宋_GB2312" w:eastAsia="仿宋_GB2312"/>
                <w:b w:val="0"/>
                <w:sz w:val="18"/>
              </w:rPr>
              <w:t>18</w:t>
            </w:r>
          </w:p>
        </w:tc>
        <w:tc>
          <w:tcPr>
            <w:tcW w:w="10340" w:type="dxa"/>
            <w:vAlign w:val="center"/>
          </w:tcPr>
          <w:p w14:paraId="331D9642">
            <w:pPr>
              <w:spacing w:after="0" w:line="240" w:lineRule="auto"/>
            </w:pPr>
            <w:r>
              <w:rPr>
                <w:rFonts w:ascii="仿宋_GB2312" w:hAnsi="仿宋_GB2312" w:eastAsia="仿宋_GB2312"/>
                <w:b w:val="0"/>
                <w:sz w:val="18"/>
              </w:rPr>
              <w:t>应确保给排水、暖通空调、电气、智能化等设备安装质量；应预留足够的设备维护和更换空间。</w:t>
            </w:r>
          </w:p>
        </w:tc>
        <w:tc>
          <w:tcPr>
            <w:tcW w:w="1619" w:type="dxa"/>
            <w:vAlign w:val="center"/>
          </w:tcPr>
          <w:p w14:paraId="590BBF9A">
            <w:pPr>
              <w:spacing w:after="0" w:line="240" w:lineRule="auto"/>
              <w:jc w:val="center"/>
            </w:pPr>
            <w:r>
              <w:rPr>
                <w:rFonts w:ascii="仿宋_GB2312" w:hAnsi="仿宋_GB2312" w:eastAsia="仿宋_GB2312"/>
                <w:b w:val="0"/>
                <w:sz w:val="18"/>
              </w:rPr>
              <w:t>□符合 □不符合</w:t>
            </w:r>
          </w:p>
        </w:tc>
        <w:tc>
          <w:tcPr>
            <w:tcW w:w="1761" w:type="dxa"/>
            <w:vAlign w:val="center"/>
          </w:tcPr>
          <w:p w14:paraId="5DD0C03B">
            <w:pPr>
              <w:spacing w:after="0" w:line="240" w:lineRule="auto"/>
              <w:jc w:val="center"/>
            </w:pPr>
            <w:r>
              <w:rPr>
                <w:rFonts w:ascii="仿宋_GB2312" w:hAnsi="仿宋_GB2312" w:eastAsia="仿宋_GB2312"/>
                <w:b w:val="0"/>
                <w:sz w:val="18"/>
              </w:rPr>
              <w:t>运行评价</w:t>
            </w:r>
          </w:p>
        </w:tc>
      </w:tr>
      <w:tr w14:paraId="607D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A85E538">
            <w:pPr>
              <w:spacing w:after="0" w:line="240" w:lineRule="auto"/>
              <w:jc w:val="center"/>
            </w:pPr>
            <w:r>
              <w:rPr>
                <w:rFonts w:ascii="仿宋_GB2312" w:hAnsi="仿宋_GB2312" w:eastAsia="仿宋_GB2312"/>
                <w:b w:val="0"/>
                <w:sz w:val="18"/>
              </w:rPr>
              <w:t>19</w:t>
            </w:r>
          </w:p>
        </w:tc>
        <w:tc>
          <w:tcPr>
            <w:tcW w:w="10340" w:type="dxa"/>
            <w:vAlign w:val="center"/>
          </w:tcPr>
          <w:p w14:paraId="1CB68011">
            <w:pPr>
              <w:spacing w:after="0" w:line="240" w:lineRule="auto"/>
            </w:pPr>
            <w:r>
              <w:rPr>
                <w:rFonts w:ascii="仿宋_GB2312" w:hAnsi="仿宋_GB2312" w:eastAsia="仿宋_GB2312"/>
                <w:b w:val="0"/>
                <w:sz w:val="18"/>
              </w:rPr>
              <w:t>实施样板先行制度，保证装饰装修施工与样板房采用相同的材料、工艺、工法及构配件，质量和标准不得低于样板房。</w:t>
            </w:r>
          </w:p>
        </w:tc>
        <w:tc>
          <w:tcPr>
            <w:tcW w:w="1619" w:type="dxa"/>
            <w:vAlign w:val="center"/>
          </w:tcPr>
          <w:p w14:paraId="29DEFD6A">
            <w:pPr>
              <w:spacing w:after="0" w:line="240" w:lineRule="auto"/>
              <w:jc w:val="center"/>
            </w:pPr>
            <w:r>
              <w:rPr>
                <w:rFonts w:ascii="仿宋_GB2312" w:hAnsi="仿宋_GB2312" w:eastAsia="仿宋_GB2312"/>
                <w:b w:val="0"/>
                <w:sz w:val="18"/>
              </w:rPr>
              <w:t>□符合 □不符合</w:t>
            </w:r>
          </w:p>
        </w:tc>
        <w:tc>
          <w:tcPr>
            <w:tcW w:w="1761" w:type="dxa"/>
            <w:vAlign w:val="center"/>
          </w:tcPr>
          <w:p w14:paraId="06A572DD">
            <w:pPr>
              <w:spacing w:after="0" w:line="240" w:lineRule="auto"/>
              <w:jc w:val="center"/>
            </w:pPr>
            <w:r>
              <w:rPr>
                <w:rFonts w:ascii="仿宋_GB2312" w:hAnsi="仿宋_GB2312" w:eastAsia="仿宋_GB2312"/>
                <w:b w:val="0"/>
                <w:sz w:val="18"/>
              </w:rPr>
              <w:t>运行评价</w:t>
            </w:r>
          </w:p>
        </w:tc>
      </w:tr>
      <w:tr w14:paraId="1F1C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0B239CF">
            <w:pPr>
              <w:spacing w:after="0" w:line="240" w:lineRule="auto"/>
              <w:jc w:val="center"/>
            </w:pPr>
            <w:r>
              <w:rPr>
                <w:rFonts w:ascii="仿宋_GB2312" w:hAnsi="仿宋_GB2312" w:eastAsia="仿宋_GB2312"/>
                <w:b w:val="0"/>
                <w:sz w:val="18"/>
              </w:rPr>
              <w:t>20</w:t>
            </w:r>
          </w:p>
        </w:tc>
        <w:tc>
          <w:tcPr>
            <w:tcW w:w="10340" w:type="dxa"/>
            <w:vAlign w:val="center"/>
          </w:tcPr>
          <w:p w14:paraId="378E7BFC">
            <w:pPr>
              <w:spacing w:after="0" w:line="240" w:lineRule="auto"/>
            </w:pPr>
            <w:r>
              <w:rPr>
                <w:rFonts w:ascii="仿宋_GB2312" w:hAnsi="仿宋_GB2312" w:eastAsia="仿宋_GB2312"/>
                <w:b w:val="0"/>
                <w:sz w:val="18"/>
              </w:rPr>
              <w:t>建立质量监督机制，加强对施工过程质量检查与验收，确保施工质量符合设计要求和相关标准。</w:t>
            </w:r>
          </w:p>
        </w:tc>
        <w:tc>
          <w:tcPr>
            <w:tcW w:w="1619" w:type="dxa"/>
            <w:vAlign w:val="center"/>
          </w:tcPr>
          <w:p w14:paraId="2CB5E1F9">
            <w:pPr>
              <w:spacing w:after="0" w:line="240" w:lineRule="auto"/>
              <w:jc w:val="center"/>
            </w:pPr>
            <w:r>
              <w:rPr>
                <w:rFonts w:ascii="仿宋_GB2312" w:hAnsi="仿宋_GB2312" w:eastAsia="仿宋_GB2312"/>
                <w:b w:val="0"/>
                <w:sz w:val="18"/>
              </w:rPr>
              <w:t>□符合 □不符合</w:t>
            </w:r>
          </w:p>
        </w:tc>
        <w:tc>
          <w:tcPr>
            <w:tcW w:w="1761" w:type="dxa"/>
            <w:vAlign w:val="center"/>
          </w:tcPr>
          <w:p w14:paraId="5BB1F20C">
            <w:pPr>
              <w:spacing w:after="0" w:line="240" w:lineRule="auto"/>
              <w:jc w:val="center"/>
            </w:pPr>
            <w:r>
              <w:rPr>
                <w:rFonts w:ascii="仿宋_GB2312" w:hAnsi="仿宋_GB2312" w:eastAsia="仿宋_GB2312"/>
                <w:b w:val="0"/>
                <w:sz w:val="18"/>
              </w:rPr>
              <w:t>运行评价</w:t>
            </w:r>
          </w:p>
        </w:tc>
      </w:tr>
      <w:tr w14:paraId="1D2F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4BA7E16">
            <w:pPr>
              <w:spacing w:after="0" w:line="240" w:lineRule="auto"/>
              <w:jc w:val="center"/>
            </w:pPr>
            <w:r>
              <w:rPr>
                <w:rFonts w:ascii="仿宋_GB2312" w:hAnsi="仿宋_GB2312" w:eastAsia="仿宋_GB2312"/>
                <w:b w:val="0"/>
                <w:sz w:val="18"/>
              </w:rPr>
              <w:t>21</w:t>
            </w:r>
          </w:p>
        </w:tc>
        <w:tc>
          <w:tcPr>
            <w:tcW w:w="10340" w:type="dxa"/>
            <w:vAlign w:val="center"/>
          </w:tcPr>
          <w:p w14:paraId="30CBE83E">
            <w:pPr>
              <w:spacing w:after="0" w:line="240" w:lineRule="auto"/>
            </w:pPr>
            <w:r>
              <w:rPr>
                <w:rFonts w:ascii="仿宋_GB2312" w:hAnsi="仿宋_GB2312" w:eastAsia="仿宋_GB2312"/>
                <w:b w:val="0"/>
                <w:sz w:val="18"/>
              </w:rPr>
              <w:t>应制定科学合理的施工组织设计，明确施工进度计划、施工工艺、质量控制措施等。</w:t>
            </w:r>
          </w:p>
        </w:tc>
        <w:tc>
          <w:tcPr>
            <w:tcW w:w="1619" w:type="dxa"/>
            <w:vAlign w:val="center"/>
          </w:tcPr>
          <w:p w14:paraId="686B14C1">
            <w:pPr>
              <w:spacing w:after="0" w:line="240" w:lineRule="auto"/>
              <w:jc w:val="center"/>
            </w:pPr>
            <w:r>
              <w:rPr>
                <w:rFonts w:ascii="仿宋_GB2312" w:hAnsi="仿宋_GB2312" w:eastAsia="仿宋_GB2312"/>
                <w:b w:val="0"/>
                <w:sz w:val="18"/>
              </w:rPr>
              <w:t>□符合 □不符合</w:t>
            </w:r>
          </w:p>
        </w:tc>
        <w:tc>
          <w:tcPr>
            <w:tcW w:w="1761" w:type="dxa"/>
            <w:vAlign w:val="center"/>
          </w:tcPr>
          <w:p w14:paraId="227B13A9">
            <w:pPr>
              <w:spacing w:after="0" w:line="240" w:lineRule="auto"/>
              <w:jc w:val="center"/>
            </w:pPr>
            <w:r>
              <w:rPr>
                <w:rFonts w:ascii="仿宋_GB2312" w:hAnsi="仿宋_GB2312" w:eastAsia="仿宋_GB2312"/>
                <w:b w:val="0"/>
                <w:sz w:val="18"/>
              </w:rPr>
              <w:t>运行评价</w:t>
            </w:r>
          </w:p>
        </w:tc>
      </w:tr>
      <w:tr w14:paraId="158A1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697D409">
            <w:pPr>
              <w:spacing w:after="0" w:line="240" w:lineRule="auto"/>
              <w:jc w:val="center"/>
            </w:pPr>
            <w:r>
              <w:rPr>
                <w:rFonts w:ascii="仿宋_GB2312" w:hAnsi="仿宋_GB2312" w:eastAsia="仿宋_GB2312"/>
                <w:b w:val="0"/>
                <w:sz w:val="18"/>
              </w:rPr>
              <w:t>22</w:t>
            </w:r>
          </w:p>
        </w:tc>
        <w:tc>
          <w:tcPr>
            <w:tcW w:w="10340" w:type="dxa"/>
            <w:vAlign w:val="center"/>
          </w:tcPr>
          <w:p w14:paraId="3A5A8CBC">
            <w:pPr>
              <w:spacing w:after="0" w:line="240" w:lineRule="auto"/>
            </w:pPr>
            <w:r>
              <w:rPr>
                <w:rFonts w:ascii="仿宋_GB2312" w:hAnsi="仿宋_GB2312" w:eastAsia="仿宋_GB2312"/>
                <w:b w:val="0"/>
                <w:sz w:val="18"/>
              </w:rPr>
              <w:t>结合建筑使用功能及装饰装修要求进行设计深化，形成深化清单，实现预留、定位一次就位。</w:t>
            </w:r>
          </w:p>
        </w:tc>
        <w:tc>
          <w:tcPr>
            <w:tcW w:w="1619" w:type="dxa"/>
            <w:vAlign w:val="center"/>
          </w:tcPr>
          <w:p w14:paraId="64FD3E31">
            <w:pPr>
              <w:spacing w:after="0" w:line="240" w:lineRule="auto"/>
              <w:jc w:val="center"/>
            </w:pPr>
            <w:r>
              <w:rPr>
                <w:rFonts w:ascii="仿宋_GB2312" w:hAnsi="仿宋_GB2312" w:eastAsia="仿宋_GB2312"/>
                <w:b w:val="0"/>
                <w:sz w:val="18"/>
              </w:rPr>
              <w:t>□符合 □不符合</w:t>
            </w:r>
          </w:p>
        </w:tc>
        <w:tc>
          <w:tcPr>
            <w:tcW w:w="1761" w:type="dxa"/>
            <w:vAlign w:val="center"/>
          </w:tcPr>
          <w:p w14:paraId="3A1B6448">
            <w:pPr>
              <w:spacing w:after="0" w:line="240" w:lineRule="auto"/>
              <w:jc w:val="center"/>
            </w:pPr>
            <w:r>
              <w:rPr>
                <w:rFonts w:ascii="仿宋_GB2312" w:hAnsi="仿宋_GB2312" w:eastAsia="仿宋_GB2312"/>
                <w:b w:val="0"/>
                <w:sz w:val="18"/>
              </w:rPr>
              <w:t>运行评价</w:t>
            </w:r>
          </w:p>
        </w:tc>
      </w:tr>
      <w:tr w14:paraId="0D388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4D6CBD0">
            <w:pPr>
              <w:spacing w:after="0" w:line="240" w:lineRule="auto"/>
              <w:jc w:val="center"/>
            </w:pPr>
            <w:r>
              <w:rPr>
                <w:rFonts w:ascii="仿宋_GB2312" w:hAnsi="仿宋_GB2312" w:eastAsia="仿宋_GB2312"/>
                <w:b w:val="0"/>
                <w:sz w:val="18"/>
              </w:rPr>
              <w:t>23</w:t>
            </w:r>
          </w:p>
        </w:tc>
        <w:tc>
          <w:tcPr>
            <w:tcW w:w="10340" w:type="dxa"/>
            <w:vAlign w:val="center"/>
          </w:tcPr>
          <w:p w14:paraId="5E483942">
            <w:pPr>
              <w:spacing w:after="0" w:line="240" w:lineRule="auto"/>
            </w:pPr>
            <w:r>
              <w:rPr>
                <w:rFonts w:ascii="仿宋_GB2312" w:hAnsi="仿宋_GB2312" w:eastAsia="仿宋_GB2312"/>
                <w:b w:val="0"/>
                <w:sz w:val="18"/>
              </w:rPr>
              <w:t>移交物业资料包括隐蔽工程可视化模型文件及影像资料、竣工图纸、建筑模型、运维参数、验收资料等；房屋交付时，提供商品住宅使用说明书。</w:t>
            </w:r>
          </w:p>
        </w:tc>
        <w:tc>
          <w:tcPr>
            <w:tcW w:w="1619" w:type="dxa"/>
            <w:vAlign w:val="center"/>
          </w:tcPr>
          <w:p w14:paraId="4E02A002">
            <w:pPr>
              <w:spacing w:after="0" w:line="240" w:lineRule="auto"/>
              <w:jc w:val="center"/>
            </w:pPr>
            <w:r>
              <w:rPr>
                <w:rFonts w:ascii="仿宋_GB2312" w:hAnsi="仿宋_GB2312" w:eastAsia="仿宋_GB2312"/>
                <w:b w:val="0"/>
                <w:sz w:val="18"/>
              </w:rPr>
              <w:t>□符合 □不符合</w:t>
            </w:r>
          </w:p>
        </w:tc>
        <w:tc>
          <w:tcPr>
            <w:tcW w:w="1761" w:type="dxa"/>
            <w:vAlign w:val="center"/>
          </w:tcPr>
          <w:p w14:paraId="2D6F1219">
            <w:pPr>
              <w:spacing w:after="0" w:line="240" w:lineRule="auto"/>
              <w:jc w:val="center"/>
            </w:pPr>
            <w:r>
              <w:rPr>
                <w:rFonts w:ascii="仿宋_GB2312" w:hAnsi="仿宋_GB2312" w:eastAsia="仿宋_GB2312"/>
                <w:b w:val="0"/>
                <w:sz w:val="18"/>
              </w:rPr>
              <w:t>运行评价</w:t>
            </w:r>
          </w:p>
        </w:tc>
      </w:tr>
      <w:tr w14:paraId="5CEF0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F29DE7F">
            <w:pPr>
              <w:spacing w:after="0" w:line="240" w:lineRule="auto"/>
              <w:jc w:val="center"/>
            </w:pPr>
            <w:r>
              <w:rPr>
                <w:rFonts w:ascii="仿宋_GB2312" w:hAnsi="仿宋_GB2312" w:eastAsia="仿宋_GB2312"/>
                <w:b w:val="0"/>
                <w:sz w:val="18"/>
              </w:rPr>
              <w:t>24</w:t>
            </w:r>
          </w:p>
        </w:tc>
        <w:tc>
          <w:tcPr>
            <w:tcW w:w="10340" w:type="dxa"/>
            <w:vAlign w:val="center"/>
          </w:tcPr>
          <w:p w14:paraId="115AB355">
            <w:pPr>
              <w:spacing w:after="0" w:line="240" w:lineRule="auto"/>
            </w:pPr>
            <w:r>
              <w:rPr>
                <w:rFonts w:ascii="仿宋_GB2312" w:hAnsi="仿宋_GB2312" w:eastAsia="仿宋_GB2312"/>
                <w:b w:val="0"/>
                <w:sz w:val="18"/>
              </w:rPr>
              <w:t>对用户登录信息、交易数据、个人资料等敏感数据进行加密处理，防止数据泄露。</w:t>
            </w:r>
          </w:p>
        </w:tc>
        <w:tc>
          <w:tcPr>
            <w:tcW w:w="1619" w:type="dxa"/>
            <w:vAlign w:val="center"/>
          </w:tcPr>
          <w:p w14:paraId="6D49A52A">
            <w:pPr>
              <w:spacing w:after="0" w:line="240" w:lineRule="auto"/>
              <w:jc w:val="center"/>
            </w:pPr>
            <w:r>
              <w:rPr>
                <w:rFonts w:ascii="仿宋_GB2312" w:hAnsi="仿宋_GB2312" w:eastAsia="仿宋_GB2312"/>
                <w:b w:val="0"/>
                <w:sz w:val="18"/>
              </w:rPr>
              <w:t>□符合 □不符合</w:t>
            </w:r>
          </w:p>
        </w:tc>
        <w:tc>
          <w:tcPr>
            <w:tcW w:w="1761" w:type="dxa"/>
            <w:vAlign w:val="center"/>
          </w:tcPr>
          <w:p w14:paraId="0C0229D2">
            <w:pPr>
              <w:spacing w:after="0" w:line="240" w:lineRule="auto"/>
              <w:jc w:val="center"/>
            </w:pPr>
            <w:r>
              <w:rPr>
                <w:rFonts w:ascii="仿宋_GB2312" w:hAnsi="仿宋_GB2312" w:eastAsia="仿宋_GB2312"/>
                <w:b w:val="0"/>
                <w:sz w:val="18"/>
              </w:rPr>
              <w:t>运行评价</w:t>
            </w:r>
          </w:p>
        </w:tc>
      </w:tr>
      <w:tr w14:paraId="6964F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BC27D27">
            <w:pPr>
              <w:spacing w:after="0" w:line="240" w:lineRule="auto"/>
              <w:jc w:val="center"/>
            </w:pPr>
            <w:r>
              <w:rPr>
                <w:rFonts w:ascii="仿宋_GB2312" w:hAnsi="仿宋_GB2312" w:eastAsia="仿宋_GB2312"/>
                <w:b w:val="0"/>
                <w:sz w:val="18"/>
              </w:rPr>
              <w:t>25</w:t>
            </w:r>
          </w:p>
        </w:tc>
        <w:tc>
          <w:tcPr>
            <w:tcW w:w="10340" w:type="dxa"/>
            <w:vAlign w:val="center"/>
          </w:tcPr>
          <w:p w14:paraId="2EB4F804">
            <w:pPr>
              <w:spacing w:after="0" w:line="240" w:lineRule="auto"/>
            </w:pPr>
            <w:r>
              <w:rPr>
                <w:rFonts w:ascii="仿宋_GB2312" w:hAnsi="仿宋_GB2312" w:eastAsia="仿宋_GB2312"/>
                <w:b w:val="0"/>
                <w:sz w:val="18"/>
              </w:rPr>
              <w:t>建立系统定期维护升级机制，数据存储、传输、销毁符合《网络安全法》《个人信息保护法》等要求，定期开展网络安全风险评估。</w:t>
            </w:r>
          </w:p>
        </w:tc>
        <w:tc>
          <w:tcPr>
            <w:tcW w:w="1619" w:type="dxa"/>
            <w:vAlign w:val="center"/>
          </w:tcPr>
          <w:p w14:paraId="31FCAAEA">
            <w:pPr>
              <w:spacing w:after="0" w:line="240" w:lineRule="auto"/>
              <w:jc w:val="center"/>
            </w:pPr>
            <w:r>
              <w:rPr>
                <w:rFonts w:ascii="仿宋_GB2312" w:hAnsi="仿宋_GB2312" w:eastAsia="仿宋_GB2312"/>
                <w:b w:val="0"/>
                <w:sz w:val="18"/>
              </w:rPr>
              <w:t>□符合 □不符合</w:t>
            </w:r>
          </w:p>
        </w:tc>
        <w:tc>
          <w:tcPr>
            <w:tcW w:w="1761" w:type="dxa"/>
            <w:vAlign w:val="center"/>
          </w:tcPr>
          <w:p w14:paraId="7C6ABEE8">
            <w:pPr>
              <w:spacing w:after="0" w:line="240" w:lineRule="auto"/>
              <w:jc w:val="center"/>
            </w:pPr>
            <w:r>
              <w:rPr>
                <w:rFonts w:ascii="仿宋_GB2312" w:hAnsi="仿宋_GB2312" w:eastAsia="仿宋_GB2312"/>
                <w:b w:val="0"/>
                <w:sz w:val="18"/>
              </w:rPr>
              <w:t>运行评价</w:t>
            </w:r>
          </w:p>
        </w:tc>
      </w:tr>
    </w:tbl>
    <w:p w14:paraId="01E47CE9">
      <w:pPr>
        <w:rPr>
          <w:rFonts w:ascii="楷体_GB2312" w:hAnsi="楷体_GB2312" w:eastAsia="楷体_GB2312"/>
          <w:b/>
          <w:bCs w:val="0"/>
          <w:sz w:val="28"/>
          <w:szCs w:val="28"/>
        </w:rPr>
      </w:pPr>
      <w:r>
        <w:rPr>
          <w:rFonts w:ascii="楷体_GB2312" w:hAnsi="楷体_GB2312" w:eastAsia="楷体_GB2312"/>
          <w:b/>
          <w:bCs w:val="0"/>
          <w:sz w:val="28"/>
          <w:szCs w:val="28"/>
        </w:rPr>
        <w:t>（二）评分项（共33条）</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0340"/>
        <w:gridCol w:w="1619"/>
        <w:gridCol w:w="1761"/>
      </w:tblGrid>
      <w:tr w14:paraId="661E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0" w:type="dxa"/>
            <w:shd w:val="clear" w:color="auto" w:fill="F2F2F2"/>
            <w:vAlign w:val="center"/>
          </w:tcPr>
          <w:p w14:paraId="0AD3AD73">
            <w:pPr>
              <w:spacing w:after="0" w:line="240" w:lineRule="auto"/>
              <w:jc w:val="center"/>
              <w:rPr>
                <w:rFonts w:ascii="黑体" w:hAnsi="黑体" w:eastAsia="黑体"/>
                <w:b/>
                <w:sz w:val="24"/>
                <w:szCs w:val="24"/>
              </w:rPr>
            </w:pPr>
            <w:r>
              <w:rPr>
                <w:rFonts w:ascii="黑体" w:hAnsi="黑体" w:eastAsia="黑体"/>
                <w:b/>
                <w:sz w:val="24"/>
                <w:szCs w:val="24"/>
              </w:rPr>
              <w:t>序号</w:t>
            </w:r>
          </w:p>
        </w:tc>
        <w:tc>
          <w:tcPr>
            <w:tcW w:w="10340" w:type="dxa"/>
            <w:shd w:val="clear" w:color="auto" w:fill="F2F2F2"/>
            <w:vAlign w:val="center"/>
          </w:tcPr>
          <w:p w14:paraId="38C194C1">
            <w:pPr>
              <w:spacing w:after="0" w:line="240" w:lineRule="auto"/>
              <w:jc w:val="center"/>
              <w:rPr>
                <w:rFonts w:ascii="黑体" w:hAnsi="黑体" w:eastAsia="黑体"/>
                <w:b/>
                <w:sz w:val="24"/>
                <w:szCs w:val="24"/>
              </w:rPr>
            </w:pPr>
            <w:r>
              <w:rPr>
                <w:rFonts w:ascii="黑体" w:hAnsi="黑体" w:eastAsia="黑体"/>
                <w:b/>
                <w:sz w:val="24"/>
                <w:szCs w:val="24"/>
              </w:rPr>
              <w:t>评分项内容</w:t>
            </w:r>
          </w:p>
        </w:tc>
        <w:tc>
          <w:tcPr>
            <w:tcW w:w="1619" w:type="dxa"/>
            <w:shd w:val="clear" w:color="auto" w:fill="F2F2F2"/>
            <w:vAlign w:val="center"/>
          </w:tcPr>
          <w:p w14:paraId="3139E9F5">
            <w:pPr>
              <w:spacing w:after="0" w:line="240" w:lineRule="auto"/>
              <w:jc w:val="center"/>
              <w:rPr>
                <w:rFonts w:ascii="黑体" w:hAnsi="黑体" w:eastAsia="黑体"/>
                <w:b/>
                <w:sz w:val="24"/>
                <w:szCs w:val="24"/>
              </w:rPr>
            </w:pPr>
            <w:r>
              <w:rPr>
                <w:rFonts w:ascii="黑体" w:hAnsi="黑体" w:eastAsia="黑体"/>
                <w:b/>
                <w:sz w:val="24"/>
                <w:szCs w:val="24"/>
              </w:rPr>
              <w:t>自查结果</w:t>
            </w:r>
          </w:p>
        </w:tc>
        <w:tc>
          <w:tcPr>
            <w:tcW w:w="1761" w:type="dxa"/>
            <w:shd w:val="clear" w:color="auto" w:fill="F2F2F2"/>
            <w:vAlign w:val="center"/>
          </w:tcPr>
          <w:p w14:paraId="2513B6DE">
            <w:pPr>
              <w:spacing w:after="0" w:line="240" w:lineRule="auto"/>
              <w:jc w:val="center"/>
              <w:rPr>
                <w:rFonts w:ascii="黑体" w:hAnsi="黑体" w:eastAsia="黑体"/>
                <w:b/>
                <w:sz w:val="24"/>
                <w:szCs w:val="24"/>
              </w:rPr>
            </w:pPr>
            <w:r>
              <w:rPr>
                <w:rFonts w:ascii="黑体" w:hAnsi="黑体" w:eastAsia="黑体"/>
                <w:b/>
                <w:sz w:val="24"/>
                <w:szCs w:val="24"/>
              </w:rPr>
              <w:t>备注</w:t>
            </w:r>
          </w:p>
        </w:tc>
      </w:tr>
      <w:tr w14:paraId="4EBA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1698D41">
            <w:pPr>
              <w:spacing w:after="0" w:line="240" w:lineRule="auto"/>
              <w:jc w:val="center"/>
            </w:pPr>
            <w:r>
              <w:rPr>
                <w:rFonts w:ascii="仿宋_GB2312" w:hAnsi="仿宋_GB2312" w:eastAsia="仿宋_GB2312"/>
                <w:b w:val="0"/>
                <w:sz w:val="18"/>
              </w:rPr>
              <w:t>1</w:t>
            </w:r>
          </w:p>
        </w:tc>
        <w:tc>
          <w:tcPr>
            <w:tcW w:w="10340" w:type="dxa"/>
            <w:vAlign w:val="center"/>
          </w:tcPr>
          <w:p w14:paraId="4B0B0D58">
            <w:pPr>
              <w:spacing w:after="0" w:line="240" w:lineRule="auto"/>
              <w:rPr>
                <w:rFonts w:hint="eastAsia" w:eastAsia="仿宋_GB2312"/>
                <w:lang w:eastAsia="zh-CN"/>
              </w:rPr>
            </w:pPr>
            <w:r>
              <w:rPr>
                <w:rFonts w:ascii="仿宋_GB2312" w:hAnsi="仿宋_GB2312" w:eastAsia="仿宋_GB2312"/>
                <w:b w:val="0"/>
                <w:sz w:val="18"/>
              </w:rPr>
              <w:t>车位尺寸不小于2.5×5.3m</w:t>
            </w:r>
            <w:r>
              <w:rPr>
                <w:rFonts w:hint="eastAsia" w:ascii="仿宋_GB2312" w:hAnsi="仿宋_GB2312" w:eastAsia="仿宋_GB2312"/>
                <w:b w:val="0"/>
                <w:sz w:val="18"/>
                <w:lang w:eastAsia="zh-CN"/>
              </w:rPr>
              <w:t>。</w:t>
            </w:r>
          </w:p>
        </w:tc>
        <w:tc>
          <w:tcPr>
            <w:tcW w:w="1619" w:type="dxa"/>
            <w:vAlign w:val="center"/>
          </w:tcPr>
          <w:p w14:paraId="5CD496F7">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2A921F5D">
            <w:pPr>
              <w:spacing w:after="0" w:line="240" w:lineRule="auto"/>
            </w:pPr>
            <w:r>
              <w:rPr>
                <w:rFonts w:hint="eastAsia" w:ascii="仿宋_GB2312" w:hAnsi="仿宋_GB2312" w:eastAsia="仿宋_GB2312"/>
                <w:b w:val="0"/>
                <w:sz w:val="18"/>
                <w:lang w:val="en-US" w:eastAsia="zh-CN"/>
              </w:rPr>
              <w:t>满足1项3分，满足2项10分。</w:t>
            </w:r>
          </w:p>
        </w:tc>
      </w:tr>
      <w:tr w14:paraId="537C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7948A6D">
            <w:pPr>
              <w:spacing w:after="0" w:line="240" w:lineRule="auto"/>
              <w:jc w:val="center"/>
            </w:pPr>
            <w:r>
              <w:rPr>
                <w:rFonts w:ascii="仿宋_GB2312" w:hAnsi="仿宋_GB2312" w:eastAsia="仿宋_GB2312"/>
                <w:b w:val="0"/>
                <w:sz w:val="18"/>
              </w:rPr>
              <w:t>2</w:t>
            </w:r>
          </w:p>
        </w:tc>
        <w:tc>
          <w:tcPr>
            <w:tcW w:w="10340" w:type="dxa"/>
            <w:vAlign w:val="center"/>
          </w:tcPr>
          <w:p w14:paraId="55930F25">
            <w:pPr>
              <w:spacing w:after="0" w:line="240" w:lineRule="auto"/>
              <w:rPr>
                <w:rFonts w:hint="eastAsia" w:eastAsia="仿宋_GB2312"/>
                <w:lang w:eastAsia="zh-CN"/>
              </w:rPr>
            </w:pPr>
            <w:r>
              <w:rPr>
                <w:rFonts w:ascii="仿宋_GB2312" w:hAnsi="仿宋_GB2312" w:eastAsia="仿宋_GB2312"/>
                <w:b w:val="0"/>
                <w:sz w:val="18"/>
              </w:rPr>
              <w:t>机动车配置≥20%的较大机动车停车位，该停车位尺寸≥2.6m×5.5m</w:t>
            </w:r>
            <w:r>
              <w:rPr>
                <w:rFonts w:hint="eastAsia" w:ascii="仿宋_GB2312" w:hAnsi="仿宋_GB2312" w:eastAsia="仿宋_GB2312"/>
                <w:b w:val="0"/>
                <w:sz w:val="18"/>
                <w:lang w:eastAsia="zh-CN"/>
              </w:rPr>
              <w:t>。</w:t>
            </w:r>
          </w:p>
        </w:tc>
        <w:tc>
          <w:tcPr>
            <w:tcW w:w="1619" w:type="dxa"/>
            <w:vAlign w:val="center"/>
          </w:tcPr>
          <w:p w14:paraId="00E0A206">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04A125B">
            <w:pPr>
              <w:spacing w:after="0" w:line="240" w:lineRule="auto"/>
            </w:pPr>
          </w:p>
        </w:tc>
      </w:tr>
      <w:tr w14:paraId="39E5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E299558">
            <w:pPr>
              <w:spacing w:after="0" w:line="240" w:lineRule="auto"/>
              <w:jc w:val="center"/>
            </w:pPr>
            <w:r>
              <w:rPr>
                <w:rFonts w:ascii="仿宋_GB2312" w:hAnsi="仿宋_GB2312" w:eastAsia="仿宋_GB2312"/>
                <w:b w:val="0"/>
                <w:sz w:val="18"/>
              </w:rPr>
              <w:t>3</w:t>
            </w:r>
          </w:p>
        </w:tc>
        <w:tc>
          <w:tcPr>
            <w:tcW w:w="10340" w:type="dxa"/>
            <w:vAlign w:val="center"/>
          </w:tcPr>
          <w:p w14:paraId="14376C69">
            <w:pPr>
              <w:spacing w:after="0" w:line="240" w:lineRule="auto"/>
              <w:rPr>
                <w:rFonts w:hint="eastAsia" w:eastAsia="仿宋_GB2312"/>
                <w:lang w:eastAsia="zh-CN"/>
              </w:rPr>
            </w:pPr>
            <w:r>
              <w:rPr>
                <w:rFonts w:ascii="仿宋_GB2312" w:hAnsi="仿宋_GB2312" w:eastAsia="仿宋_GB2312"/>
                <w:b w:val="0"/>
                <w:sz w:val="18"/>
              </w:rPr>
              <w:t>机动车停车场利用地下空间集中设置</w:t>
            </w:r>
            <w:r>
              <w:rPr>
                <w:rFonts w:hint="eastAsia" w:ascii="仿宋_GB2312" w:hAnsi="仿宋_GB2312" w:eastAsia="仿宋_GB2312"/>
                <w:b w:val="0"/>
                <w:sz w:val="18"/>
                <w:lang w:eastAsia="zh-CN"/>
              </w:rPr>
              <w:t>。</w:t>
            </w:r>
          </w:p>
        </w:tc>
        <w:tc>
          <w:tcPr>
            <w:tcW w:w="1619" w:type="dxa"/>
            <w:vAlign w:val="center"/>
          </w:tcPr>
          <w:p w14:paraId="516EB27D">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5C06BF9E">
            <w:pPr>
              <w:spacing w:after="0" w:line="240" w:lineRule="auto"/>
            </w:pPr>
          </w:p>
        </w:tc>
      </w:tr>
      <w:tr w14:paraId="4A8E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EFFC382">
            <w:pPr>
              <w:spacing w:after="0" w:line="240" w:lineRule="auto"/>
              <w:jc w:val="center"/>
            </w:pPr>
            <w:r>
              <w:rPr>
                <w:rFonts w:ascii="仿宋_GB2312" w:hAnsi="仿宋_GB2312" w:eastAsia="仿宋_GB2312"/>
                <w:b w:val="0"/>
                <w:sz w:val="18"/>
              </w:rPr>
              <w:t>4</w:t>
            </w:r>
          </w:p>
        </w:tc>
        <w:tc>
          <w:tcPr>
            <w:tcW w:w="10340" w:type="dxa"/>
            <w:vAlign w:val="center"/>
          </w:tcPr>
          <w:p w14:paraId="0AF5343E">
            <w:pPr>
              <w:spacing w:after="0" w:line="240" w:lineRule="auto"/>
              <w:rPr>
                <w:rFonts w:hint="eastAsia" w:eastAsia="仿宋_GB2312"/>
                <w:lang w:eastAsia="zh-CN"/>
              </w:rPr>
            </w:pPr>
            <w:r>
              <w:rPr>
                <w:rFonts w:ascii="仿宋_GB2312" w:hAnsi="仿宋_GB2312" w:eastAsia="仿宋_GB2312"/>
                <w:b w:val="0"/>
                <w:sz w:val="18"/>
              </w:rPr>
              <w:t>社区服务设施服务半径≤300m</w:t>
            </w:r>
            <w:r>
              <w:rPr>
                <w:rFonts w:hint="eastAsia" w:ascii="仿宋_GB2312" w:hAnsi="仿宋_GB2312" w:eastAsia="仿宋_GB2312"/>
                <w:b w:val="0"/>
                <w:sz w:val="18"/>
                <w:lang w:eastAsia="zh-CN"/>
              </w:rPr>
              <w:t>。</w:t>
            </w:r>
          </w:p>
        </w:tc>
        <w:tc>
          <w:tcPr>
            <w:tcW w:w="1619" w:type="dxa"/>
            <w:vAlign w:val="center"/>
          </w:tcPr>
          <w:p w14:paraId="2AA6F597">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0CE5C71B">
            <w:pPr>
              <w:spacing w:after="0" w:line="240" w:lineRule="auto"/>
            </w:pPr>
            <w:r>
              <w:rPr>
                <w:rFonts w:hint="eastAsia" w:ascii="仿宋_GB2312" w:hAnsi="仿宋_GB2312" w:eastAsia="仿宋_GB2312"/>
                <w:b w:val="0"/>
                <w:sz w:val="18"/>
                <w:lang w:val="en-US" w:eastAsia="zh-CN"/>
              </w:rPr>
              <w:t>满足1项3分，满足2项5分。</w:t>
            </w:r>
          </w:p>
        </w:tc>
      </w:tr>
      <w:tr w14:paraId="6A96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1BB8992">
            <w:pPr>
              <w:spacing w:after="0" w:line="240" w:lineRule="auto"/>
              <w:jc w:val="center"/>
            </w:pPr>
            <w:r>
              <w:rPr>
                <w:rFonts w:ascii="仿宋_GB2312" w:hAnsi="仿宋_GB2312" w:eastAsia="仿宋_GB2312"/>
                <w:b w:val="0"/>
                <w:sz w:val="18"/>
              </w:rPr>
              <w:t>5</w:t>
            </w:r>
          </w:p>
        </w:tc>
        <w:tc>
          <w:tcPr>
            <w:tcW w:w="10340" w:type="dxa"/>
            <w:vAlign w:val="center"/>
          </w:tcPr>
          <w:p w14:paraId="427705A2">
            <w:pPr>
              <w:spacing w:after="0" w:line="240" w:lineRule="auto"/>
              <w:rPr>
                <w:rFonts w:hint="eastAsia" w:eastAsia="仿宋_GB2312"/>
                <w:lang w:eastAsia="zh-CN"/>
              </w:rPr>
            </w:pPr>
            <w:r>
              <w:rPr>
                <w:rFonts w:ascii="仿宋_GB2312" w:hAnsi="仿宋_GB2312" w:eastAsia="仿宋_GB2312"/>
                <w:b w:val="0"/>
                <w:sz w:val="18"/>
              </w:rPr>
              <w:t>托育服务设施宜按每千人口≥10个托位、每个托位建筑面积≥8m²的标准配建</w:t>
            </w:r>
            <w:r>
              <w:rPr>
                <w:rFonts w:hint="eastAsia" w:ascii="仿宋_GB2312" w:hAnsi="仿宋_GB2312" w:eastAsia="仿宋_GB2312"/>
                <w:b w:val="0"/>
                <w:sz w:val="18"/>
                <w:lang w:eastAsia="zh-CN"/>
              </w:rPr>
              <w:t>。</w:t>
            </w:r>
          </w:p>
        </w:tc>
        <w:tc>
          <w:tcPr>
            <w:tcW w:w="1619" w:type="dxa"/>
            <w:vAlign w:val="center"/>
          </w:tcPr>
          <w:p w14:paraId="25CF17ED">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606A8E1">
            <w:pPr>
              <w:spacing w:after="0" w:line="240" w:lineRule="auto"/>
            </w:pPr>
          </w:p>
        </w:tc>
      </w:tr>
      <w:tr w14:paraId="25F9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9205E57">
            <w:pPr>
              <w:spacing w:after="0" w:line="240" w:lineRule="auto"/>
              <w:jc w:val="center"/>
            </w:pPr>
            <w:r>
              <w:rPr>
                <w:rFonts w:ascii="仿宋_GB2312" w:hAnsi="仿宋_GB2312" w:eastAsia="仿宋_GB2312"/>
                <w:b w:val="0"/>
                <w:sz w:val="18"/>
              </w:rPr>
              <w:t>6</w:t>
            </w:r>
          </w:p>
        </w:tc>
        <w:tc>
          <w:tcPr>
            <w:tcW w:w="10340" w:type="dxa"/>
            <w:vAlign w:val="center"/>
          </w:tcPr>
          <w:p w14:paraId="69EEA1B1">
            <w:pPr>
              <w:spacing w:after="0" w:line="240" w:lineRule="auto"/>
              <w:rPr>
                <w:rFonts w:hint="eastAsia" w:eastAsia="仿宋_GB2312"/>
                <w:lang w:eastAsia="zh-CN"/>
              </w:rPr>
            </w:pPr>
            <w:r>
              <w:rPr>
                <w:rFonts w:ascii="仿宋_GB2312" w:hAnsi="仿宋_GB2312" w:eastAsia="仿宋_GB2312"/>
                <w:b w:val="0"/>
                <w:sz w:val="18"/>
              </w:rPr>
              <w:t>最高入户层为2层及2层以上的住宅，每个住宅单元至少设置一台电梯</w:t>
            </w:r>
            <w:r>
              <w:rPr>
                <w:rFonts w:hint="eastAsia" w:ascii="仿宋_GB2312" w:hAnsi="仿宋_GB2312" w:eastAsia="仿宋_GB2312"/>
                <w:b w:val="0"/>
                <w:sz w:val="18"/>
                <w:lang w:eastAsia="zh-CN"/>
              </w:rPr>
              <w:t>。</w:t>
            </w:r>
          </w:p>
        </w:tc>
        <w:tc>
          <w:tcPr>
            <w:tcW w:w="1619" w:type="dxa"/>
            <w:vAlign w:val="center"/>
          </w:tcPr>
          <w:p w14:paraId="014F5C8B">
            <w:pPr>
              <w:spacing w:after="0" w:line="240" w:lineRule="auto"/>
              <w:jc w:val="center"/>
            </w:pPr>
            <w:r>
              <w:rPr>
                <w:rFonts w:ascii="仿宋_GB2312" w:hAnsi="仿宋_GB2312" w:eastAsia="仿宋_GB2312"/>
                <w:b w:val="0"/>
                <w:sz w:val="18"/>
              </w:rPr>
              <w:t>□符合 □不符合</w:t>
            </w:r>
          </w:p>
        </w:tc>
        <w:tc>
          <w:tcPr>
            <w:tcW w:w="1761" w:type="dxa"/>
            <w:vAlign w:val="center"/>
          </w:tcPr>
          <w:p w14:paraId="5D234E37">
            <w:pPr>
              <w:spacing w:after="0" w:line="240" w:lineRule="auto"/>
              <w:jc w:val="center"/>
            </w:pPr>
            <w:r>
              <w:rPr>
                <w:rFonts w:hint="eastAsia" w:ascii="仿宋_GB2312" w:hAnsi="仿宋_GB2312" w:eastAsia="仿宋_GB2312"/>
                <w:b w:val="0"/>
                <w:sz w:val="18"/>
                <w:lang w:val="en-US" w:eastAsia="zh-CN"/>
              </w:rPr>
              <w:t>5分</w:t>
            </w:r>
          </w:p>
        </w:tc>
      </w:tr>
      <w:tr w14:paraId="2439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571C635">
            <w:pPr>
              <w:spacing w:after="0" w:line="240" w:lineRule="auto"/>
              <w:jc w:val="center"/>
            </w:pPr>
            <w:r>
              <w:rPr>
                <w:rFonts w:ascii="仿宋_GB2312" w:hAnsi="仿宋_GB2312" w:eastAsia="仿宋_GB2312"/>
                <w:b w:val="0"/>
                <w:sz w:val="18"/>
              </w:rPr>
              <w:t>7</w:t>
            </w:r>
          </w:p>
        </w:tc>
        <w:tc>
          <w:tcPr>
            <w:tcW w:w="10340" w:type="dxa"/>
            <w:vAlign w:val="center"/>
          </w:tcPr>
          <w:p w14:paraId="21CD0C7F">
            <w:pPr>
              <w:spacing w:after="0" w:line="240" w:lineRule="auto"/>
              <w:rPr>
                <w:rFonts w:hint="eastAsia" w:eastAsia="仿宋_GB2312"/>
                <w:lang w:eastAsia="zh-CN"/>
              </w:rPr>
            </w:pPr>
            <w:r>
              <w:rPr>
                <w:rFonts w:ascii="仿宋_GB2312" w:hAnsi="仿宋_GB2312" w:eastAsia="仿宋_GB2312"/>
                <w:b w:val="0"/>
                <w:sz w:val="18"/>
              </w:rPr>
              <w:t>公共空间内的消防给水立管、雨水管设置在水井内</w:t>
            </w:r>
            <w:r>
              <w:rPr>
                <w:rFonts w:hint="eastAsia" w:ascii="仿宋_GB2312" w:hAnsi="仿宋_GB2312" w:eastAsia="仿宋_GB2312"/>
                <w:b w:val="0"/>
                <w:sz w:val="18"/>
                <w:lang w:eastAsia="zh-CN"/>
              </w:rPr>
              <w:t>。</w:t>
            </w:r>
          </w:p>
        </w:tc>
        <w:tc>
          <w:tcPr>
            <w:tcW w:w="1619" w:type="dxa"/>
            <w:vAlign w:val="center"/>
          </w:tcPr>
          <w:p w14:paraId="5B16D973">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508228CA">
            <w:pPr>
              <w:spacing w:after="0" w:line="240" w:lineRule="auto"/>
              <w:jc w:val="both"/>
              <w:rPr>
                <w:rFonts w:hint="default"/>
                <w:lang w:val="en-US"/>
              </w:rPr>
            </w:pPr>
            <w:r>
              <w:rPr>
                <w:rFonts w:hint="eastAsia" w:ascii="仿宋_GB2312" w:hAnsi="仿宋_GB2312" w:eastAsia="仿宋_GB2312"/>
                <w:b w:val="0"/>
                <w:sz w:val="18"/>
                <w:lang w:val="en-US" w:eastAsia="zh-CN"/>
              </w:rPr>
              <w:t>满足1项3分，满足3项10分，满足5项20分</w:t>
            </w:r>
          </w:p>
        </w:tc>
      </w:tr>
      <w:tr w14:paraId="285DD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F2037C1">
            <w:pPr>
              <w:spacing w:after="0" w:line="240" w:lineRule="auto"/>
              <w:jc w:val="center"/>
            </w:pPr>
            <w:r>
              <w:rPr>
                <w:rFonts w:ascii="仿宋_GB2312" w:hAnsi="仿宋_GB2312" w:eastAsia="仿宋_GB2312"/>
                <w:b w:val="0"/>
                <w:sz w:val="18"/>
              </w:rPr>
              <w:t>8</w:t>
            </w:r>
          </w:p>
        </w:tc>
        <w:tc>
          <w:tcPr>
            <w:tcW w:w="10340" w:type="dxa"/>
            <w:vAlign w:val="center"/>
          </w:tcPr>
          <w:p w14:paraId="2ADBE341">
            <w:pPr>
              <w:spacing w:after="0" w:line="240" w:lineRule="auto"/>
              <w:rPr>
                <w:rFonts w:hint="eastAsia" w:eastAsia="仿宋_GB2312"/>
                <w:lang w:eastAsia="zh-CN"/>
              </w:rPr>
            </w:pPr>
            <w:r>
              <w:rPr>
                <w:rFonts w:ascii="仿宋_GB2312" w:hAnsi="仿宋_GB2312" w:eastAsia="仿宋_GB2312"/>
                <w:b w:val="0"/>
                <w:sz w:val="18"/>
              </w:rPr>
              <w:t>厨房电器集中区域预留设置轨道插座的电源条件</w:t>
            </w:r>
            <w:r>
              <w:rPr>
                <w:rFonts w:hint="eastAsia" w:ascii="仿宋_GB2312" w:hAnsi="仿宋_GB2312" w:eastAsia="仿宋_GB2312"/>
                <w:b w:val="0"/>
                <w:sz w:val="18"/>
                <w:lang w:eastAsia="zh-CN"/>
              </w:rPr>
              <w:t>。</w:t>
            </w:r>
          </w:p>
        </w:tc>
        <w:tc>
          <w:tcPr>
            <w:tcW w:w="1619" w:type="dxa"/>
            <w:vAlign w:val="center"/>
          </w:tcPr>
          <w:p w14:paraId="31449300">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2543D1CD">
            <w:pPr>
              <w:spacing w:after="0" w:line="240" w:lineRule="auto"/>
            </w:pPr>
          </w:p>
        </w:tc>
      </w:tr>
      <w:tr w14:paraId="4970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8496652">
            <w:pPr>
              <w:spacing w:after="0" w:line="240" w:lineRule="auto"/>
              <w:jc w:val="center"/>
            </w:pPr>
            <w:r>
              <w:rPr>
                <w:rFonts w:ascii="仿宋_GB2312" w:hAnsi="仿宋_GB2312" w:eastAsia="仿宋_GB2312"/>
                <w:b w:val="0"/>
                <w:sz w:val="18"/>
              </w:rPr>
              <w:t>9</w:t>
            </w:r>
          </w:p>
        </w:tc>
        <w:tc>
          <w:tcPr>
            <w:tcW w:w="10340" w:type="dxa"/>
            <w:vAlign w:val="center"/>
          </w:tcPr>
          <w:p w14:paraId="6398200A">
            <w:pPr>
              <w:spacing w:after="0" w:line="240" w:lineRule="auto"/>
              <w:rPr>
                <w:rFonts w:hint="eastAsia" w:eastAsia="仿宋_GB2312"/>
                <w:lang w:eastAsia="zh-CN"/>
              </w:rPr>
            </w:pPr>
            <w:r>
              <w:rPr>
                <w:rFonts w:ascii="仿宋_GB2312" w:hAnsi="仿宋_GB2312" w:eastAsia="仿宋_GB2312"/>
                <w:b w:val="0"/>
                <w:sz w:val="18"/>
              </w:rPr>
              <w:t>卧室主照明能在卧室门边和床头分别控制</w:t>
            </w:r>
            <w:r>
              <w:rPr>
                <w:rFonts w:hint="eastAsia" w:ascii="仿宋_GB2312" w:hAnsi="仿宋_GB2312" w:eastAsia="仿宋_GB2312"/>
                <w:b w:val="0"/>
                <w:sz w:val="18"/>
                <w:lang w:eastAsia="zh-CN"/>
              </w:rPr>
              <w:t>。</w:t>
            </w:r>
          </w:p>
        </w:tc>
        <w:tc>
          <w:tcPr>
            <w:tcW w:w="1619" w:type="dxa"/>
            <w:vAlign w:val="center"/>
          </w:tcPr>
          <w:p w14:paraId="29813740">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257D220E">
            <w:pPr>
              <w:spacing w:after="0" w:line="240" w:lineRule="auto"/>
            </w:pPr>
          </w:p>
        </w:tc>
      </w:tr>
      <w:tr w14:paraId="076B8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0C47BBA">
            <w:pPr>
              <w:spacing w:after="0" w:line="240" w:lineRule="auto"/>
              <w:jc w:val="center"/>
            </w:pPr>
            <w:r>
              <w:rPr>
                <w:rFonts w:ascii="仿宋_GB2312" w:hAnsi="仿宋_GB2312" w:eastAsia="仿宋_GB2312"/>
                <w:b w:val="0"/>
                <w:sz w:val="18"/>
              </w:rPr>
              <w:t>10</w:t>
            </w:r>
          </w:p>
        </w:tc>
        <w:tc>
          <w:tcPr>
            <w:tcW w:w="10340" w:type="dxa"/>
            <w:vAlign w:val="center"/>
          </w:tcPr>
          <w:p w14:paraId="17A0A0C7">
            <w:pPr>
              <w:spacing w:after="0" w:line="240" w:lineRule="auto"/>
              <w:rPr>
                <w:rFonts w:hint="eastAsia" w:eastAsia="仿宋_GB2312"/>
                <w:lang w:eastAsia="zh-CN"/>
              </w:rPr>
            </w:pPr>
            <w:r>
              <w:rPr>
                <w:rFonts w:ascii="仿宋_GB2312" w:hAnsi="仿宋_GB2312" w:eastAsia="仿宋_GB2312"/>
                <w:b w:val="0"/>
                <w:sz w:val="18"/>
              </w:rPr>
              <w:t>在入户处设置户内照明总开关</w:t>
            </w:r>
            <w:r>
              <w:rPr>
                <w:rFonts w:hint="eastAsia" w:ascii="仿宋_GB2312" w:hAnsi="仿宋_GB2312" w:eastAsia="仿宋_GB2312"/>
                <w:b w:val="0"/>
                <w:sz w:val="18"/>
                <w:lang w:eastAsia="zh-CN"/>
              </w:rPr>
              <w:t>。</w:t>
            </w:r>
          </w:p>
        </w:tc>
        <w:tc>
          <w:tcPr>
            <w:tcW w:w="1619" w:type="dxa"/>
            <w:vAlign w:val="center"/>
          </w:tcPr>
          <w:p w14:paraId="17D85F1B">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36297A58">
            <w:pPr>
              <w:spacing w:after="0" w:line="240" w:lineRule="auto"/>
            </w:pPr>
          </w:p>
        </w:tc>
      </w:tr>
      <w:tr w14:paraId="7E70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3D9E6A1">
            <w:pPr>
              <w:spacing w:after="0" w:line="240" w:lineRule="auto"/>
              <w:jc w:val="center"/>
            </w:pPr>
            <w:r>
              <w:rPr>
                <w:rFonts w:ascii="仿宋_GB2312" w:hAnsi="仿宋_GB2312" w:eastAsia="仿宋_GB2312"/>
                <w:b w:val="0"/>
                <w:sz w:val="18"/>
              </w:rPr>
              <w:t>11</w:t>
            </w:r>
          </w:p>
        </w:tc>
        <w:tc>
          <w:tcPr>
            <w:tcW w:w="10340" w:type="dxa"/>
            <w:vAlign w:val="center"/>
          </w:tcPr>
          <w:p w14:paraId="51FB46FD">
            <w:pPr>
              <w:spacing w:after="0" w:line="240" w:lineRule="auto"/>
              <w:rPr>
                <w:rFonts w:hint="eastAsia" w:eastAsia="仿宋_GB2312"/>
                <w:lang w:eastAsia="zh-CN"/>
              </w:rPr>
            </w:pPr>
            <w:r>
              <w:rPr>
                <w:rFonts w:ascii="仿宋_GB2312" w:hAnsi="仿宋_GB2312" w:eastAsia="仿宋_GB2312"/>
                <w:b w:val="0"/>
                <w:sz w:val="18"/>
              </w:rPr>
              <w:t>户内配电箱内采用智能断路器</w:t>
            </w:r>
            <w:r>
              <w:rPr>
                <w:rFonts w:hint="eastAsia" w:ascii="仿宋_GB2312" w:hAnsi="仿宋_GB2312" w:eastAsia="仿宋_GB2312"/>
                <w:b w:val="0"/>
                <w:sz w:val="18"/>
                <w:lang w:eastAsia="zh-CN"/>
              </w:rPr>
              <w:t>。</w:t>
            </w:r>
          </w:p>
        </w:tc>
        <w:tc>
          <w:tcPr>
            <w:tcW w:w="1619" w:type="dxa"/>
            <w:vAlign w:val="center"/>
          </w:tcPr>
          <w:p w14:paraId="69AF2152">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EBA32FA">
            <w:pPr>
              <w:spacing w:after="0" w:line="240" w:lineRule="auto"/>
            </w:pPr>
          </w:p>
        </w:tc>
      </w:tr>
      <w:tr w14:paraId="6FE5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1CFDC04">
            <w:pPr>
              <w:spacing w:after="0" w:line="240" w:lineRule="auto"/>
              <w:jc w:val="center"/>
            </w:pPr>
            <w:r>
              <w:rPr>
                <w:rFonts w:ascii="仿宋_GB2312" w:hAnsi="仿宋_GB2312" w:eastAsia="仿宋_GB2312"/>
                <w:b w:val="0"/>
                <w:sz w:val="18"/>
              </w:rPr>
              <w:t>12</w:t>
            </w:r>
          </w:p>
        </w:tc>
        <w:tc>
          <w:tcPr>
            <w:tcW w:w="10340" w:type="dxa"/>
            <w:vAlign w:val="center"/>
          </w:tcPr>
          <w:p w14:paraId="1243C2EE">
            <w:pPr>
              <w:spacing w:after="0" w:line="240" w:lineRule="auto"/>
              <w:rPr>
                <w:rFonts w:hint="eastAsia" w:eastAsia="仿宋_GB2312"/>
                <w:lang w:eastAsia="zh-CN"/>
              </w:rPr>
            </w:pPr>
            <w:r>
              <w:rPr>
                <w:rFonts w:ascii="仿宋_GB2312" w:hAnsi="仿宋_GB2312" w:eastAsia="仿宋_GB2312"/>
                <w:b w:val="0"/>
                <w:sz w:val="18"/>
              </w:rPr>
              <w:t>居住区公共区域预留智能信包箱、快递及外卖暂存设备、自动售卖机、打印机、自动回收机等便民设备的电源</w:t>
            </w:r>
            <w:r>
              <w:rPr>
                <w:rFonts w:hint="eastAsia" w:ascii="仿宋_GB2312" w:hAnsi="仿宋_GB2312" w:eastAsia="仿宋_GB2312"/>
                <w:b w:val="0"/>
                <w:sz w:val="18"/>
                <w:lang w:eastAsia="zh-CN"/>
              </w:rPr>
              <w:t>。</w:t>
            </w:r>
          </w:p>
        </w:tc>
        <w:tc>
          <w:tcPr>
            <w:tcW w:w="1619" w:type="dxa"/>
            <w:vAlign w:val="center"/>
          </w:tcPr>
          <w:p w14:paraId="696A124C">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0F01E84B">
            <w:pPr>
              <w:spacing w:after="0" w:line="240" w:lineRule="auto"/>
            </w:pPr>
          </w:p>
        </w:tc>
      </w:tr>
      <w:tr w14:paraId="463B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5A097F4">
            <w:pPr>
              <w:spacing w:after="0" w:line="240" w:lineRule="auto"/>
              <w:jc w:val="center"/>
            </w:pPr>
            <w:r>
              <w:rPr>
                <w:rFonts w:ascii="仿宋_GB2312" w:hAnsi="仿宋_GB2312" w:eastAsia="仿宋_GB2312"/>
                <w:b w:val="0"/>
                <w:sz w:val="18"/>
              </w:rPr>
              <w:t>13</w:t>
            </w:r>
          </w:p>
        </w:tc>
        <w:tc>
          <w:tcPr>
            <w:tcW w:w="10340" w:type="dxa"/>
            <w:vAlign w:val="center"/>
          </w:tcPr>
          <w:p w14:paraId="55DFE1C7">
            <w:pPr>
              <w:spacing w:after="0" w:line="240" w:lineRule="auto"/>
              <w:rPr>
                <w:rFonts w:hint="eastAsia" w:eastAsia="仿宋_GB2312"/>
                <w:lang w:eastAsia="zh-CN"/>
              </w:rPr>
            </w:pPr>
            <w:r>
              <w:rPr>
                <w:rFonts w:ascii="仿宋_GB2312" w:hAnsi="仿宋_GB2312" w:eastAsia="仿宋_GB2312"/>
                <w:b w:val="0"/>
                <w:sz w:val="18"/>
              </w:rPr>
              <w:t>公共广播系统与消防应急广播分开设置</w:t>
            </w:r>
            <w:r>
              <w:rPr>
                <w:rFonts w:hint="eastAsia" w:ascii="仿宋_GB2312" w:hAnsi="仿宋_GB2312" w:eastAsia="仿宋_GB2312"/>
                <w:b w:val="0"/>
                <w:sz w:val="18"/>
                <w:lang w:eastAsia="zh-CN"/>
              </w:rPr>
              <w:t>。</w:t>
            </w:r>
          </w:p>
        </w:tc>
        <w:tc>
          <w:tcPr>
            <w:tcW w:w="1619" w:type="dxa"/>
            <w:vAlign w:val="center"/>
          </w:tcPr>
          <w:p w14:paraId="080AD3BF">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11F07ABE">
            <w:pPr>
              <w:spacing w:after="0" w:line="240" w:lineRule="auto"/>
            </w:pPr>
            <w:r>
              <w:rPr>
                <w:rFonts w:hint="eastAsia" w:ascii="仿宋_GB2312" w:hAnsi="仿宋_GB2312" w:eastAsia="仿宋_GB2312"/>
                <w:b w:val="0"/>
                <w:sz w:val="18"/>
                <w:lang w:val="en-US" w:eastAsia="zh-CN"/>
              </w:rPr>
              <w:t>满足3项10分，满足6项20分，满足8项30分；满足15项50分</w:t>
            </w:r>
          </w:p>
        </w:tc>
      </w:tr>
      <w:tr w14:paraId="7958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2A47B3B">
            <w:pPr>
              <w:spacing w:after="0" w:line="240" w:lineRule="auto"/>
              <w:jc w:val="center"/>
            </w:pPr>
            <w:r>
              <w:rPr>
                <w:rFonts w:ascii="仿宋_GB2312" w:hAnsi="仿宋_GB2312" w:eastAsia="仿宋_GB2312"/>
                <w:b w:val="0"/>
                <w:sz w:val="18"/>
              </w:rPr>
              <w:t>14</w:t>
            </w:r>
          </w:p>
        </w:tc>
        <w:tc>
          <w:tcPr>
            <w:tcW w:w="10340" w:type="dxa"/>
            <w:vAlign w:val="center"/>
          </w:tcPr>
          <w:p w14:paraId="6858E95D">
            <w:pPr>
              <w:spacing w:after="0" w:line="240" w:lineRule="auto"/>
              <w:rPr>
                <w:rFonts w:hint="eastAsia" w:eastAsia="仿宋_GB2312"/>
                <w:lang w:eastAsia="zh-CN"/>
              </w:rPr>
            </w:pPr>
            <w:r>
              <w:rPr>
                <w:rFonts w:ascii="仿宋_GB2312" w:hAnsi="仿宋_GB2312" w:eastAsia="仿宋_GB2312"/>
                <w:b w:val="0"/>
                <w:sz w:val="18"/>
              </w:rPr>
              <w:t>居住区周界、重要设备间出入口设置入侵报警系统</w:t>
            </w:r>
            <w:r>
              <w:rPr>
                <w:rFonts w:hint="eastAsia" w:ascii="仿宋_GB2312" w:hAnsi="仿宋_GB2312" w:eastAsia="仿宋_GB2312"/>
                <w:b w:val="0"/>
                <w:sz w:val="18"/>
                <w:lang w:eastAsia="zh-CN"/>
              </w:rPr>
              <w:t>。</w:t>
            </w:r>
          </w:p>
        </w:tc>
        <w:tc>
          <w:tcPr>
            <w:tcW w:w="1619" w:type="dxa"/>
            <w:vAlign w:val="center"/>
          </w:tcPr>
          <w:p w14:paraId="291F92AF">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459E2E16">
            <w:pPr>
              <w:spacing w:after="0" w:line="240" w:lineRule="auto"/>
            </w:pPr>
          </w:p>
        </w:tc>
      </w:tr>
      <w:tr w14:paraId="38A0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8CFB33B">
            <w:pPr>
              <w:spacing w:after="0" w:line="240" w:lineRule="auto"/>
              <w:jc w:val="center"/>
            </w:pPr>
            <w:r>
              <w:rPr>
                <w:rFonts w:ascii="仿宋_GB2312" w:hAnsi="仿宋_GB2312" w:eastAsia="仿宋_GB2312"/>
                <w:b w:val="0"/>
                <w:sz w:val="18"/>
              </w:rPr>
              <w:t>15</w:t>
            </w:r>
          </w:p>
        </w:tc>
        <w:tc>
          <w:tcPr>
            <w:tcW w:w="10340" w:type="dxa"/>
            <w:vAlign w:val="center"/>
          </w:tcPr>
          <w:p w14:paraId="2E9FC1BA">
            <w:pPr>
              <w:spacing w:after="0" w:line="240" w:lineRule="auto"/>
              <w:rPr>
                <w:rFonts w:hint="eastAsia" w:eastAsia="仿宋_GB2312"/>
                <w:lang w:eastAsia="zh-CN"/>
              </w:rPr>
            </w:pPr>
            <w:r>
              <w:rPr>
                <w:rFonts w:ascii="仿宋_GB2312" w:hAnsi="仿宋_GB2312" w:eastAsia="仿宋_GB2312"/>
                <w:b w:val="0"/>
                <w:sz w:val="18"/>
              </w:rPr>
              <w:t>电梯设置电梯控制系统，带楼层控制的电梯控制系统轿厢内设置玻璃破碎按钮，按下后立即解除楼层控制并停梯开门，报警信号同步发送到安防监控中心</w:t>
            </w:r>
            <w:r>
              <w:rPr>
                <w:rFonts w:hint="eastAsia" w:ascii="仿宋_GB2312" w:hAnsi="仿宋_GB2312" w:eastAsia="仿宋_GB2312"/>
                <w:b w:val="0"/>
                <w:sz w:val="18"/>
                <w:lang w:eastAsia="zh-CN"/>
              </w:rPr>
              <w:t>。</w:t>
            </w:r>
          </w:p>
        </w:tc>
        <w:tc>
          <w:tcPr>
            <w:tcW w:w="1619" w:type="dxa"/>
            <w:vAlign w:val="center"/>
          </w:tcPr>
          <w:p w14:paraId="02AEDFCF">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4B88EFC0">
            <w:pPr>
              <w:spacing w:after="0" w:line="240" w:lineRule="auto"/>
            </w:pPr>
          </w:p>
        </w:tc>
      </w:tr>
      <w:tr w14:paraId="272C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64F113C">
            <w:pPr>
              <w:spacing w:after="0" w:line="240" w:lineRule="auto"/>
              <w:jc w:val="center"/>
            </w:pPr>
            <w:r>
              <w:rPr>
                <w:rFonts w:ascii="仿宋_GB2312" w:hAnsi="仿宋_GB2312" w:eastAsia="仿宋_GB2312"/>
                <w:b w:val="0"/>
                <w:sz w:val="18"/>
              </w:rPr>
              <w:t>16</w:t>
            </w:r>
          </w:p>
        </w:tc>
        <w:tc>
          <w:tcPr>
            <w:tcW w:w="10340" w:type="dxa"/>
            <w:vAlign w:val="center"/>
          </w:tcPr>
          <w:p w14:paraId="7A59CA56">
            <w:pPr>
              <w:spacing w:after="0" w:line="240" w:lineRule="auto"/>
            </w:pPr>
            <w:r>
              <w:rPr>
                <w:rFonts w:ascii="仿宋_GB2312" w:hAnsi="仿宋_GB2312" w:eastAsia="仿宋_GB2312"/>
                <w:b w:val="0"/>
                <w:sz w:val="18"/>
              </w:rPr>
              <w:t>室外人员集中活动场所、首层入户门厅，设置紧急对讲系统；</w:t>
            </w:r>
          </w:p>
        </w:tc>
        <w:tc>
          <w:tcPr>
            <w:tcW w:w="1619" w:type="dxa"/>
            <w:vAlign w:val="center"/>
          </w:tcPr>
          <w:p w14:paraId="49376377">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2BBB1B0E">
            <w:pPr>
              <w:spacing w:after="0" w:line="240" w:lineRule="auto"/>
            </w:pPr>
          </w:p>
        </w:tc>
      </w:tr>
      <w:tr w14:paraId="4CBF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D27A061">
            <w:pPr>
              <w:spacing w:after="0" w:line="240" w:lineRule="auto"/>
              <w:jc w:val="center"/>
            </w:pPr>
            <w:r>
              <w:rPr>
                <w:rFonts w:ascii="仿宋_GB2312" w:hAnsi="仿宋_GB2312" w:eastAsia="仿宋_GB2312"/>
                <w:b w:val="0"/>
                <w:sz w:val="18"/>
              </w:rPr>
              <w:t>17</w:t>
            </w:r>
          </w:p>
        </w:tc>
        <w:tc>
          <w:tcPr>
            <w:tcW w:w="10340" w:type="dxa"/>
            <w:vAlign w:val="center"/>
          </w:tcPr>
          <w:p w14:paraId="27402F33">
            <w:pPr>
              <w:spacing w:after="0" w:line="240" w:lineRule="auto"/>
              <w:rPr>
                <w:rFonts w:hint="eastAsia" w:eastAsia="仿宋_GB2312"/>
                <w:lang w:eastAsia="zh-CN"/>
              </w:rPr>
            </w:pPr>
            <w:r>
              <w:rPr>
                <w:rFonts w:ascii="仿宋_GB2312" w:hAnsi="仿宋_GB2312" w:eastAsia="仿宋_GB2312"/>
                <w:b w:val="0"/>
                <w:sz w:val="18"/>
              </w:rPr>
              <w:t>停车库（场）安全管理系统能同时显示并记录出入车辆号牌和驾驶员面部图像，收费窗口及闸机不设置在坡道上</w:t>
            </w:r>
            <w:r>
              <w:rPr>
                <w:rFonts w:hint="eastAsia" w:ascii="仿宋_GB2312" w:hAnsi="仿宋_GB2312" w:eastAsia="仿宋_GB2312"/>
                <w:b w:val="0"/>
                <w:sz w:val="18"/>
                <w:lang w:eastAsia="zh-CN"/>
              </w:rPr>
              <w:t>。</w:t>
            </w:r>
          </w:p>
        </w:tc>
        <w:tc>
          <w:tcPr>
            <w:tcW w:w="1619" w:type="dxa"/>
            <w:vAlign w:val="center"/>
          </w:tcPr>
          <w:p w14:paraId="38A541FA">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04227B8E">
            <w:pPr>
              <w:spacing w:after="0" w:line="240" w:lineRule="auto"/>
            </w:pPr>
          </w:p>
        </w:tc>
      </w:tr>
      <w:tr w14:paraId="3C07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C685ADD">
            <w:pPr>
              <w:spacing w:after="0" w:line="240" w:lineRule="auto"/>
              <w:jc w:val="center"/>
            </w:pPr>
            <w:r>
              <w:rPr>
                <w:rFonts w:ascii="仿宋_GB2312" w:hAnsi="仿宋_GB2312" w:eastAsia="仿宋_GB2312"/>
                <w:b w:val="0"/>
                <w:sz w:val="18"/>
              </w:rPr>
              <w:t>18</w:t>
            </w:r>
          </w:p>
        </w:tc>
        <w:tc>
          <w:tcPr>
            <w:tcW w:w="10340" w:type="dxa"/>
            <w:vAlign w:val="center"/>
          </w:tcPr>
          <w:p w14:paraId="727C7F24">
            <w:pPr>
              <w:spacing w:after="0" w:line="240" w:lineRule="auto"/>
              <w:rPr>
                <w:rFonts w:hint="eastAsia" w:eastAsia="仿宋_GB2312"/>
                <w:lang w:eastAsia="zh-CN"/>
              </w:rPr>
            </w:pPr>
            <w:r>
              <w:rPr>
                <w:rFonts w:ascii="仿宋_GB2312" w:hAnsi="仿宋_GB2312" w:eastAsia="仿宋_GB2312"/>
                <w:b w:val="0"/>
                <w:sz w:val="18"/>
              </w:rPr>
              <w:t>住宅内起居厅（室）、主卧室及老年人使用的卧室、卫生间分别设置紧急求助按钮，求助信号接入室内对讲分机</w:t>
            </w:r>
            <w:r>
              <w:rPr>
                <w:rFonts w:hint="eastAsia" w:ascii="仿宋_GB2312" w:hAnsi="仿宋_GB2312" w:eastAsia="仿宋_GB2312"/>
                <w:b w:val="0"/>
                <w:sz w:val="18"/>
                <w:lang w:eastAsia="zh-CN"/>
              </w:rPr>
              <w:t>。</w:t>
            </w:r>
          </w:p>
        </w:tc>
        <w:tc>
          <w:tcPr>
            <w:tcW w:w="1619" w:type="dxa"/>
            <w:vAlign w:val="center"/>
          </w:tcPr>
          <w:p w14:paraId="51760263">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5D77CDFA">
            <w:pPr>
              <w:spacing w:after="0" w:line="240" w:lineRule="auto"/>
            </w:pPr>
          </w:p>
        </w:tc>
      </w:tr>
      <w:tr w14:paraId="4954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E24190A">
            <w:pPr>
              <w:spacing w:after="0" w:line="240" w:lineRule="auto"/>
              <w:jc w:val="center"/>
            </w:pPr>
            <w:r>
              <w:rPr>
                <w:rFonts w:ascii="仿宋_GB2312" w:hAnsi="仿宋_GB2312" w:eastAsia="仿宋_GB2312"/>
                <w:b w:val="0"/>
                <w:sz w:val="18"/>
              </w:rPr>
              <w:t>19</w:t>
            </w:r>
          </w:p>
        </w:tc>
        <w:tc>
          <w:tcPr>
            <w:tcW w:w="10340" w:type="dxa"/>
            <w:vAlign w:val="center"/>
          </w:tcPr>
          <w:p w14:paraId="68097375">
            <w:pPr>
              <w:spacing w:after="0" w:line="240" w:lineRule="auto"/>
              <w:rPr>
                <w:rFonts w:hint="eastAsia" w:eastAsia="仿宋_GB2312"/>
                <w:lang w:eastAsia="zh-CN"/>
              </w:rPr>
            </w:pPr>
            <w:r>
              <w:rPr>
                <w:rFonts w:ascii="仿宋_GB2312" w:hAnsi="仿宋_GB2312" w:eastAsia="仿宋_GB2312"/>
                <w:b w:val="0"/>
                <w:sz w:val="18"/>
              </w:rPr>
              <w:t>住宅内起居室（厅）及老年人使用的卧室、卫生间设置非视频型跌倒监测装置，跌倒信号接入室内对讲分机</w:t>
            </w:r>
            <w:r>
              <w:rPr>
                <w:rFonts w:hint="eastAsia" w:ascii="仿宋_GB2312" w:hAnsi="仿宋_GB2312" w:eastAsia="仿宋_GB2312"/>
                <w:b w:val="0"/>
                <w:sz w:val="18"/>
                <w:lang w:eastAsia="zh-CN"/>
              </w:rPr>
              <w:t>。</w:t>
            </w:r>
          </w:p>
        </w:tc>
        <w:tc>
          <w:tcPr>
            <w:tcW w:w="1619" w:type="dxa"/>
            <w:vAlign w:val="center"/>
          </w:tcPr>
          <w:p w14:paraId="198607E3">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0611A75F">
            <w:pPr>
              <w:spacing w:after="0" w:line="240" w:lineRule="auto"/>
            </w:pPr>
          </w:p>
        </w:tc>
      </w:tr>
      <w:tr w14:paraId="45F4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6BEF209">
            <w:pPr>
              <w:spacing w:after="0" w:line="240" w:lineRule="auto"/>
              <w:jc w:val="center"/>
            </w:pPr>
            <w:r>
              <w:rPr>
                <w:rFonts w:ascii="仿宋_GB2312" w:hAnsi="仿宋_GB2312" w:eastAsia="仿宋_GB2312"/>
                <w:b w:val="0"/>
                <w:sz w:val="18"/>
              </w:rPr>
              <w:t>20</w:t>
            </w:r>
          </w:p>
        </w:tc>
        <w:tc>
          <w:tcPr>
            <w:tcW w:w="10340" w:type="dxa"/>
            <w:vAlign w:val="center"/>
          </w:tcPr>
          <w:p w14:paraId="77FDF608">
            <w:pPr>
              <w:spacing w:after="0" w:line="240" w:lineRule="auto"/>
              <w:rPr>
                <w:rFonts w:hint="eastAsia" w:eastAsia="仿宋_GB2312"/>
                <w:lang w:eastAsia="zh-CN"/>
              </w:rPr>
            </w:pPr>
            <w:r>
              <w:rPr>
                <w:rFonts w:ascii="仿宋_GB2312" w:hAnsi="仿宋_GB2312" w:eastAsia="仿宋_GB2312"/>
                <w:b w:val="0"/>
                <w:sz w:val="18"/>
              </w:rPr>
              <w:t>厨房、卫生间设置水浸报警装置，报警信号接入室内对讲分机</w:t>
            </w:r>
            <w:r>
              <w:rPr>
                <w:rFonts w:hint="eastAsia" w:ascii="仿宋_GB2312" w:hAnsi="仿宋_GB2312" w:eastAsia="仿宋_GB2312"/>
                <w:b w:val="0"/>
                <w:sz w:val="18"/>
                <w:lang w:eastAsia="zh-CN"/>
              </w:rPr>
              <w:t>。</w:t>
            </w:r>
          </w:p>
        </w:tc>
        <w:tc>
          <w:tcPr>
            <w:tcW w:w="1619" w:type="dxa"/>
            <w:vAlign w:val="center"/>
          </w:tcPr>
          <w:p w14:paraId="025792ED">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4ED4CFFD">
            <w:pPr>
              <w:spacing w:after="0" w:line="240" w:lineRule="auto"/>
            </w:pPr>
          </w:p>
        </w:tc>
      </w:tr>
      <w:tr w14:paraId="7053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997F580">
            <w:pPr>
              <w:spacing w:after="0" w:line="240" w:lineRule="auto"/>
              <w:jc w:val="center"/>
            </w:pPr>
            <w:r>
              <w:rPr>
                <w:rFonts w:ascii="仿宋_GB2312" w:hAnsi="仿宋_GB2312" w:eastAsia="仿宋_GB2312"/>
                <w:b w:val="0"/>
                <w:sz w:val="18"/>
              </w:rPr>
              <w:t>21</w:t>
            </w:r>
          </w:p>
        </w:tc>
        <w:tc>
          <w:tcPr>
            <w:tcW w:w="10340" w:type="dxa"/>
            <w:vAlign w:val="center"/>
          </w:tcPr>
          <w:p w14:paraId="5148D7B9">
            <w:pPr>
              <w:spacing w:after="0" w:line="240" w:lineRule="auto"/>
              <w:rPr>
                <w:rFonts w:hint="eastAsia" w:eastAsia="仿宋_GB2312"/>
                <w:lang w:eastAsia="zh-CN"/>
              </w:rPr>
            </w:pPr>
            <w:r>
              <w:rPr>
                <w:rFonts w:ascii="仿宋_GB2312" w:hAnsi="仿宋_GB2312" w:eastAsia="仿宋_GB2312"/>
                <w:b w:val="0"/>
                <w:sz w:val="18"/>
              </w:rPr>
              <w:t>住宅内设置入侵报警装置，报警信号接入室内对讲分机</w:t>
            </w:r>
            <w:r>
              <w:rPr>
                <w:rFonts w:hint="eastAsia" w:ascii="仿宋_GB2312" w:hAnsi="仿宋_GB2312" w:eastAsia="仿宋_GB2312"/>
                <w:b w:val="0"/>
                <w:sz w:val="18"/>
                <w:lang w:eastAsia="zh-CN"/>
              </w:rPr>
              <w:t>。</w:t>
            </w:r>
          </w:p>
        </w:tc>
        <w:tc>
          <w:tcPr>
            <w:tcW w:w="1619" w:type="dxa"/>
            <w:vAlign w:val="center"/>
          </w:tcPr>
          <w:p w14:paraId="4A9A8F31">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7E461CE4">
            <w:pPr>
              <w:spacing w:after="0" w:line="240" w:lineRule="auto"/>
            </w:pPr>
          </w:p>
        </w:tc>
      </w:tr>
      <w:tr w14:paraId="286B1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22C7B6C">
            <w:pPr>
              <w:spacing w:after="0" w:line="240" w:lineRule="auto"/>
              <w:jc w:val="center"/>
            </w:pPr>
            <w:r>
              <w:rPr>
                <w:rFonts w:ascii="仿宋_GB2312" w:hAnsi="仿宋_GB2312" w:eastAsia="仿宋_GB2312"/>
                <w:b w:val="0"/>
                <w:sz w:val="18"/>
              </w:rPr>
              <w:t>22</w:t>
            </w:r>
          </w:p>
        </w:tc>
        <w:tc>
          <w:tcPr>
            <w:tcW w:w="10340" w:type="dxa"/>
            <w:vAlign w:val="center"/>
          </w:tcPr>
          <w:p w14:paraId="71520227">
            <w:pPr>
              <w:spacing w:after="0" w:line="240" w:lineRule="auto"/>
              <w:rPr>
                <w:rFonts w:hint="eastAsia" w:eastAsia="仿宋_GB2312"/>
                <w:lang w:eastAsia="zh-CN"/>
              </w:rPr>
            </w:pPr>
            <w:r>
              <w:rPr>
                <w:rFonts w:ascii="仿宋_GB2312" w:hAnsi="仿宋_GB2312" w:eastAsia="仿宋_GB2312"/>
                <w:b w:val="0"/>
                <w:sz w:val="18"/>
              </w:rPr>
              <w:t>住户与物业服务人签订入户钥匙托管协议后，物业服务人可以备有住户入户钥匙，接到求助、报警等信号后应按预案及时处理</w:t>
            </w:r>
            <w:r>
              <w:rPr>
                <w:rFonts w:hint="eastAsia" w:ascii="仿宋_GB2312" w:hAnsi="仿宋_GB2312" w:eastAsia="仿宋_GB2312"/>
                <w:b w:val="0"/>
                <w:sz w:val="18"/>
                <w:lang w:eastAsia="zh-CN"/>
              </w:rPr>
              <w:t>。</w:t>
            </w:r>
          </w:p>
        </w:tc>
        <w:tc>
          <w:tcPr>
            <w:tcW w:w="1619" w:type="dxa"/>
            <w:vAlign w:val="center"/>
          </w:tcPr>
          <w:p w14:paraId="47A06508">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7115A3D7">
            <w:pPr>
              <w:spacing w:after="0" w:line="240" w:lineRule="auto"/>
            </w:pPr>
          </w:p>
        </w:tc>
      </w:tr>
      <w:tr w14:paraId="6272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2429FB2">
            <w:pPr>
              <w:spacing w:after="0" w:line="240" w:lineRule="auto"/>
              <w:jc w:val="center"/>
            </w:pPr>
            <w:r>
              <w:rPr>
                <w:rFonts w:ascii="仿宋_GB2312" w:hAnsi="仿宋_GB2312" w:eastAsia="仿宋_GB2312"/>
                <w:b w:val="0"/>
                <w:sz w:val="18"/>
              </w:rPr>
              <w:t>23</w:t>
            </w:r>
          </w:p>
        </w:tc>
        <w:tc>
          <w:tcPr>
            <w:tcW w:w="10340" w:type="dxa"/>
            <w:vAlign w:val="center"/>
          </w:tcPr>
          <w:p w14:paraId="7755C1CA">
            <w:pPr>
              <w:spacing w:after="0" w:line="240" w:lineRule="auto"/>
              <w:rPr>
                <w:rFonts w:hint="eastAsia" w:eastAsia="仿宋_GB2312"/>
                <w:lang w:eastAsia="zh-CN"/>
              </w:rPr>
            </w:pPr>
            <w:r>
              <w:rPr>
                <w:rFonts w:ascii="仿宋_GB2312" w:hAnsi="仿宋_GB2312" w:eastAsia="仿宋_GB2312"/>
                <w:b w:val="0"/>
                <w:sz w:val="18"/>
              </w:rPr>
              <w:t>设置建筑设备监控系统监测公共区域供配电系统</w:t>
            </w:r>
            <w:r>
              <w:rPr>
                <w:rFonts w:hint="eastAsia" w:ascii="仿宋_GB2312" w:hAnsi="仿宋_GB2312" w:eastAsia="仿宋_GB2312"/>
                <w:b w:val="0"/>
                <w:sz w:val="18"/>
                <w:lang w:eastAsia="zh-CN"/>
              </w:rPr>
              <w:t>。</w:t>
            </w:r>
          </w:p>
        </w:tc>
        <w:tc>
          <w:tcPr>
            <w:tcW w:w="1619" w:type="dxa"/>
            <w:vAlign w:val="center"/>
          </w:tcPr>
          <w:p w14:paraId="009AAAB3">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2B9BC6E8">
            <w:pPr>
              <w:spacing w:after="0" w:line="240" w:lineRule="auto"/>
            </w:pPr>
          </w:p>
        </w:tc>
      </w:tr>
      <w:tr w14:paraId="4DBF4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1F48D1F">
            <w:pPr>
              <w:spacing w:after="0" w:line="240" w:lineRule="auto"/>
              <w:jc w:val="center"/>
            </w:pPr>
            <w:r>
              <w:rPr>
                <w:rFonts w:ascii="仿宋_GB2312" w:hAnsi="仿宋_GB2312" w:eastAsia="仿宋_GB2312"/>
                <w:b w:val="0"/>
                <w:sz w:val="18"/>
              </w:rPr>
              <w:t>24</w:t>
            </w:r>
          </w:p>
        </w:tc>
        <w:tc>
          <w:tcPr>
            <w:tcW w:w="10340" w:type="dxa"/>
            <w:vAlign w:val="center"/>
          </w:tcPr>
          <w:p w14:paraId="66A1EA67">
            <w:pPr>
              <w:spacing w:after="0" w:line="240" w:lineRule="auto"/>
              <w:rPr>
                <w:rFonts w:hint="eastAsia" w:eastAsia="仿宋_GB2312"/>
                <w:lang w:eastAsia="zh-CN"/>
              </w:rPr>
            </w:pPr>
            <w:r>
              <w:rPr>
                <w:rFonts w:ascii="仿宋_GB2312" w:hAnsi="仿宋_GB2312" w:eastAsia="仿宋_GB2312"/>
                <w:b w:val="0"/>
                <w:sz w:val="18"/>
              </w:rPr>
              <w:t>设置建筑设备监控系统监测生活饮用水水箱间、生活水泵房、直饮水制水间、消防水泵房、柴油发电机房等的水浸状况</w:t>
            </w:r>
            <w:r>
              <w:rPr>
                <w:rFonts w:hint="eastAsia" w:ascii="仿宋_GB2312" w:hAnsi="仿宋_GB2312" w:eastAsia="仿宋_GB2312"/>
                <w:b w:val="0"/>
                <w:sz w:val="18"/>
                <w:lang w:eastAsia="zh-CN"/>
              </w:rPr>
              <w:t>。</w:t>
            </w:r>
          </w:p>
        </w:tc>
        <w:tc>
          <w:tcPr>
            <w:tcW w:w="1619" w:type="dxa"/>
            <w:vAlign w:val="center"/>
          </w:tcPr>
          <w:p w14:paraId="126252C6">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35CA02C5">
            <w:pPr>
              <w:spacing w:after="0" w:line="240" w:lineRule="auto"/>
            </w:pPr>
          </w:p>
        </w:tc>
      </w:tr>
      <w:tr w14:paraId="47C2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293B2813">
            <w:pPr>
              <w:spacing w:after="0" w:line="240" w:lineRule="auto"/>
              <w:jc w:val="center"/>
            </w:pPr>
            <w:r>
              <w:rPr>
                <w:rFonts w:ascii="仿宋_GB2312" w:hAnsi="仿宋_GB2312" w:eastAsia="仿宋_GB2312"/>
                <w:b w:val="0"/>
                <w:sz w:val="18"/>
              </w:rPr>
              <w:t>25</w:t>
            </w:r>
          </w:p>
        </w:tc>
        <w:tc>
          <w:tcPr>
            <w:tcW w:w="10340" w:type="dxa"/>
            <w:vAlign w:val="center"/>
          </w:tcPr>
          <w:p w14:paraId="587CD8B7">
            <w:pPr>
              <w:spacing w:after="0" w:line="240" w:lineRule="auto"/>
              <w:rPr>
                <w:rFonts w:hint="eastAsia" w:eastAsia="仿宋_GB2312"/>
                <w:lang w:eastAsia="zh-CN"/>
              </w:rPr>
            </w:pPr>
            <w:r>
              <w:rPr>
                <w:rFonts w:ascii="仿宋_GB2312" w:hAnsi="仿宋_GB2312" w:eastAsia="仿宋_GB2312"/>
                <w:b w:val="0"/>
                <w:sz w:val="18"/>
              </w:rPr>
              <w:t>设置建筑设备监控系统监测生活给水总管压力和生活饮用水水质，水质检测内容应包括出水的浊度、余氯、pH值、电导率等指标，监测结果向住户公开</w:t>
            </w:r>
            <w:r>
              <w:rPr>
                <w:rFonts w:hint="eastAsia" w:ascii="仿宋_GB2312" w:hAnsi="仿宋_GB2312" w:eastAsia="仿宋_GB2312"/>
                <w:b w:val="0"/>
                <w:sz w:val="18"/>
                <w:lang w:eastAsia="zh-CN"/>
              </w:rPr>
              <w:t>。</w:t>
            </w:r>
          </w:p>
        </w:tc>
        <w:tc>
          <w:tcPr>
            <w:tcW w:w="1619" w:type="dxa"/>
            <w:vAlign w:val="center"/>
          </w:tcPr>
          <w:p w14:paraId="27A704F9">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0D13D6F8">
            <w:pPr>
              <w:spacing w:after="0" w:line="240" w:lineRule="auto"/>
            </w:pPr>
          </w:p>
        </w:tc>
      </w:tr>
      <w:tr w14:paraId="3E43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46F006F">
            <w:pPr>
              <w:spacing w:after="0" w:line="240" w:lineRule="auto"/>
              <w:jc w:val="center"/>
            </w:pPr>
            <w:r>
              <w:rPr>
                <w:rFonts w:ascii="仿宋_GB2312" w:hAnsi="仿宋_GB2312" w:eastAsia="仿宋_GB2312"/>
                <w:b w:val="0"/>
                <w:sz w:val="18"/>
              </w:rPr>
              <w:t>26</w:t>
            </w:r>
          </w:p>
        </w:tc>
        <w:tc>
          <w:tcPr>
            <w:tcW w:w="10340" w:type="dxa"/>
            <w:vAlign w:val="center"/>
          </w:tcPr>
          <w:p w14:paraId="511652AF">
            <w:pPr>
              <w:spacing w:after="0" w:line="240" w:lineRule="auto"/>
              <w:rPr>
                <w:rFonts w:hint="eastAsia" w:eastAsia="仿宋_GB2312"/>
                <w:lang w:eastAsia="zh-CN"/>
              </w:rPr>
            </w:pPr>
            <w:r>
              <w:rPr>
                <w:rFonts w:ascii="仿宋_GB2312" w:hAnsi="仿宋_GB2312" w:eastAsia="仿宋_GB2312"/>
                <w:b w:val="0"/>
                <w:sz w:val="18"/>
              </w:rPr>
              <w:t>居住区设置能效监管系统，实时采集能耗数据</w:t>
            </w:r>
            <w:r>
              <w:rPr>
                <w:rFonts w:hint="eastAsia" w:ascii="仿宋_GB2312" w:hAnsi="仿宋_GB2312" w:eastAsia="仿宋_GB2312"/>
                <w:b w:val="0"/>
                <w:sz w:val="18"/>
                <w:lang w:eastAsia="zh-CN"/>
              </w:rPr>
              <w:t>。</w:t>
            </w:r>
          </w:p>
        </w:tc>
        <w:tc>
          <w:tcPr>
            <w:tcW w:w="1619" w:type="dxa"/>
            <w:vAlign w:val="center"/>
          </w:tcPr>
          <w:p w14:paraId="30471692">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6D628C78">
            <w:pPr>
              <w:spacing w:after="0" w:line="240" w:lineRule="auto"/>
            </w:pPr>
          </w:p>
        </w:tc>
      </w:tr>
      <w:tr w14:paraId="3743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0385C0F">
            <w:pPr>
              <w:spacing w:after="0" w:line="240" w:lineRule="auto"/>
              <w:jc w:val="center"/>
            </w:pPr>
            <w:r>
              <w:rPr>
                <w:rFonts w:ascii="仿宋_GB2312" w:hAnsi="仿宋_GB2312" w:eastAsia="仿宋_GB2312"/>
                <w:b w:val="0"/>
                <w:sz w:val="18"/>
              </w:rPr>
              <w:t>27</w:t>
            </w:r>
          </w:p>
        </w:tc>
        <w:tc>
          <w:tcPr>
            <w:tcW w:w="10340" w:type="dxa"/>
            <w:vAlign w:val="center"/>
          </w:tcPr>
          <w:p w14:paraId="021B7FB5">
            <w:pPr>
              <w:spacing w:after="0" w:line="240" w:lineRule="auto"/>
              <w:rPr>
                <w:rFonts w:hint="eastAsia" w:eastAsia="仿宋_GB2312"/>
                <w:lang w:eastAsia="zh-CN"/>
              </w:rPr>
            </w:pPr>
            <w:r>
              <w:rPr>
                <w:rFonts w:ascii="仿宋_GB2312" w:hAnsi="仿宋_GB2312" w:eastAsia="仿宋_GB2312"/>
                <w:b w:val="0"/>
                <w:sz w:val="18"/>
              </w:rPr>
              <w:t>居住区设置室外环境质量监测系统并通过信息引导及发布系统显示，监测内容包括SO₂、NO₂、PM10、PM2.5、温度、湿度、风速、风向、气压等</w:t>
            </w:r>
            <w:r>
              <w:rPr>
                <w:rFonts w:hint="eastAsia" w:ascii="仿宋_GB2312" w:hAnsi="仿宋_GB2312" w:eastAsia="仿宋_GB2312"/>
                <w:b w:val="0"/>
                <w:sz w:val="18"/>
                <w:lang w:eastAsia="zh-CN"/>
              </w:rPr>
              <w:t>。</w:t>
            </w:r>
          </w:p>
        </w:tc>
        <w:tc>
          <w:tcPr>
            <w:tcW w:w="1619" w:type="dxa"/>
            <w:vAlign w:val="center"/>
          </w:tcPr>
          <w:p w14:paraId="2F520212">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4C035FC6">
            <w:pPr>
              <w:spacing w:after="0" w:line="240" w:lineRule="auto"/>
            </w:pPr>
          </w:p>
        </w:tc>
      </w:tr>
      <w:tr w14:paraId="46B1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39BB8DB">
            <w:pPr>
              <w:spacing w:after="0" w:line="240" w:lineRule="auto"/>
              <w:jc w:val="center"/>
            </w:pPr>
            <w:r>
              <w:rPr>
                <w:rFonts w:ascii="仿宋_GB2312" w:hAnsi="仿宋_GB2312" w:eastAsia="仿宋_GB2312"/>
                <w:b w:val="0"/>
                <w:sz w:val="18"/>
              </w:rPr>
              <w:t>28</w:t>
            </w:r>
          </w:p>
        </w:tc>
        <w:tc>
          <w:tcPr>
            <w:tcW w:w="10340" w:type="dxa"/>
            <w:vAlign w:val="center"/>
          </w:tcPr>
          <w:p w14:paraId="75FD31F8">
            <w:pPr>
              <w:spacing w:after="0" w:line="240" w:lineRule="auto"/>
              <w:rPr>
                <w:rFonts w:hint="eastAsia" w:eastAsia="仿宋_GB2312"/>
                <w:lang w:eastAsia="zh-CN"/>
              </w:rPr>
            </w:pPr>
            <w:r>
              <w:rPr>
                <w:rFonts w:ascii="仿宋_GB2312" w:hAnsi="仿宋_GB2312" w:eastAsia="仿宋_GB2312"/>
                <w:b w:val="0"/>
                <w:sz w:val="18"/>
              </w:rPr>
              <w:t>建设数字家庭系统，满足获得家居产品智能化服务、线上社会化服务、线上申办政务服务的需求</w:t>
            </w:r>
            <w:r>
              <w:rPr>
                <w:rFonts w:hint="eastAsia" w:ascii="仿宋_GB2312" w:hAnsi="仿宋_GB2312" w:eastAsia="仿宋_GB2312"/>
                <w:b w:val="0"/>
                <w:sz w:val="18"/>
                <w:lang w:eastAsia="zh-CN"/>
              </w:rPr>
              <w:t>。</w:t>
            </w:r>
          </w:p>
        </w:tc>
        <w:tc>
          <w:tcPr>
            <w:tcW w:w="1619" w:type="dxa"/>
            <w:vAlign w:val="center"/>
          </w:tcPr>
          <w:p w14:paraId="73D3D2D6">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76F914BA">
            <w:pPr>
              <w:spacing w:after="0" w:line="240" w:lineRule="auto"/>
            </w:pPr>
          </w:p>
        </w:tc>
      </w:tr>
      <w:tr w14:paraId="0E2F5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243CF13">
            <w:pPr>
              <w:spacing w:after="0" w:line="240" w:lineRule="auto"/>
              <w:jc w:val="center"/>
            </w:pPr>
            <w:r>
              <w:rPr>
                <w:rFonts w:ascii="仿宋_GB2312" w:hAnsi="仿宋_GB2312" w:eastAsia="仿宋_GB2312"/>
                <w:b w:val="0"/>
                <w:sz w:val="18"/>
              </w:rPr>
              <w:t>29</w:t>
            </w:r>
          </w:p>
        </w:tc>
        <w:tc>
          <w:tcPr>
            <w:tcW w:w="10340" w:type="dxa"/>
            <w:vAlign w:val="center"/>
          </w:tcPr>
          <w:p w14:paraId="26FBB397">
            <w:pPr>
              <w:spacing w:after="0" w:line="240" w:lineRule="auto"/>
              <w:rPr>
                <w:rFonts w:hint="eastAsia" w:eastAsia="仿宋_GB2312"/>
                <w:lang w:eastAsia="zh-CN"/>
              </w:rPr>
            </w:pPr>
            <w:r>
              <w:rPr>
                <w:rFonts w:ascii="仿宋_GB2312" w:hAnsi="仿宋_GB2312" w:eastAsia="仿宋_GB2312"/>
                <w:b w:val="0"/>
                <w:sz w:val="18"/>
              </w:rPr>
              <w:t>居住区宜设置智慧物业管理服务系统，配备面向全体住户的APP终端，支持访客邀请、访客停车、远程开门、费用查询、信息发布、网上报修等功能，APP用户数满足全体业主接入需求</w:t>
            </w:r>
            <w:r>
              <w:rPr>
                <w:rFonts w:hint="eastAsia" w:ascii="仿宋_GB2312" w:hAnsi="仿宋_GB2312" w:eastAsia="仿宋_GB2312"/>
                <w:b w:val="0"/>
                <w:sz w:val="18"/>
                <w:lang w:eastAsia="zh-CN"/>
              </w:rPr>
              <w:t>。</w:t>
            </w:r>
          </w:p>
        </w:tc>
        <w:tc>
          <w:tcPr>
            <w:tcW w:w="1619" w:type="dxa"/>
            <w:vAlign w:val="center"/>
          </w:tcPr>
          <w:p w14:paraId="551470C2">
            <w:pPr>
              <w:spacing w:after="0" w:line="240" w:lineRule="auto"/>
              <w:jc w:val="center"/>
            </w:pPr>
            <w:r>
              <w:rPr>
                <w:rFonts w:ascii="仿宋_GB2312" w:hAnsi="仿宋_GB2312" w:eastAsia="仿宋_GB2312"/>
                <w:b w:val="0"/>
                <w:sz w:val="18"/>
              </w:rPr>
              <w:t>□符合 □不符合</w:t>
            </w:r>
          </w:p>
        </w:tc>
        <w:tc>
          <w:tcPr>
            <w:tcW w:w="1761" w:type="dxa"/>
            <w:vMerge w:val="restart"/>
            <w:vAlign w:val="center"/>
          </w:tcPr>
          <w:p w14:paraId="58718CED">
            <w:pPr>
              <w:spacing w:after="0" w:line="240" w:lineRule="auto"/>
            </w:pPr>
            <w:r>
              <w:rPr>
                <w:rFonts w:ascii="仿宋_GB2312" w:hAnsi="仿宋_GB2312" w:eastAsia="仿宋_GB2312"/>
                <w:b w:val="0"/>
                <w:sz w:val="18"/>
              </w:rPr>
              <w:t>运行评价</w:t>
            </w:r>
            <w:r>
              <w:rPr>
                <w:rFonts w:hint="eastAsia" w:ascii="仿宋_GB2312" w:hAnsi="仿宋_GB2312" w:eastAsia="仿宋_GB2312"/>
                <w:b w:val="0"/>
                <w:sz w:val="18"/>
                <w:lang w:eastAsia="zh-CN"/>
              </w:rPr>
              <w:t>，</w:t>
            </w:r>
            <w:r>
              <w:rPr>
                <w:rFonts w:hint="eastAsia" w:ascii="仿宋_GB2312" w:hAnsi="仿宋_GB2312" w:eastAsia="仿宋_GB2312"/>
                <w:b w:val="0"/>
                <w:sz w:val="18"/>
                <w:lang w:val="en-US" w:eastAsia="zh-CN"/>
              </w:rPr>
              <w:t>满足1项5分，满足3项15分，满足5项30分</w:t>
            </w:r>
          </w:p>
        </w:tc>
      </w:tr>
      <w:tr w14:paraId="75D6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9E199C9">
            <w:pPr>
              <w:spacing w:after="0" w:line="240" w:lineRule="auto"/>
              <w:jc w:val="center"/>
            </w:pPr>
            <w:r>
              <w:rPr>
                <w:rFonts w:ascii="仿宋_GB2312" w:hAnsi="仿宋_GB2312" w:eastAsia="仿宋_GB2312"/>
                <w:b w:val="0"/>
                <w:sz w:val="18"/>
              </w:rPr>
              <w:t>30</w:t>
            </w:r>
          </w:p>
        </w:tc>
        <w:tc>
          <w:tcPr>
            <w:tcW w:w="10340" w:type="dxa"/>
            <w:vAlign w:val="center"/>
          </w:tcPr>
          <w:p w14:paraId="2736C7F3">
            <w:pPr>
              <w:spacing w:after="0" w:line="240" w:lineRule="auto"/>
              <w:rPr>
                <w:rFonts w:hint="eastAsia" w:eastAsia="仿宋_GB2312"/>
                <w:lang w:eastAsia="zh-CN"/>
              </w:rPr>
            </w:pPr>
            <w:r>
              <w:rPr>
                <w:rFonts w:ascii="仿宋_GB2312" w:hAnsi="仿宋_GB2312" w:eastAsia="仿宋_GB2312"/>
                <w:b w:val="0"/>
                <w:sz w:val="18"/>
              </w:rPr>
              <w:t>推广运用智慧物业管理服务系统</w:t>
            </w:r>
            <w:r>
              <w:rPr>
                <w:rFonts w:hint="eastAsia" w:ascii="仿宋_GB2312" w:hAnsi="仿宋_GB2312" w:eastAsia="仿宋_GB2312"/>
                <w:b w:val="0"/>
                <w:sz w:val="18"/>
                <w:lang w:eastAsia="zh-CN"/>
              </w:rPr>
              <w:t>。</w:t>
            </w:r>
          </w:p>
        </w:tc>
        <w:tc>
          <w:tcPr>
            <w:tcW w:w="1619" w:type="dxa"/>
            <w:vAlign w:val="center"/>
          </w:tcPr>
          <w:p w14:paraId="7EDDD85D">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5397EFAE">
            <w:pPr>
              <w:spacing w:after="0" w:line="240" w:lineRule="auto"/>
            </w:pPr>
          </w:p>
        </w:tc>
      </w:tr>
      <w:tr w14:paraId="1AD7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28DFDB4">
            <w:pPr>
              <w:spacing w:after="0" w:line="240" w:lineRule="auto"/>
              <w:jc w:val="center"/>
            </w:pPr>
            <w:r>
              <w:rPr>
                <w:rFonts w:ascii="仿宋_GB2312" w:hAnsi="仿宋_GB2312" w:eastAsia="仿宋_GB2312"/>
                <w:b w:val="0"/>
                <w:sz w:val="18"/>
              </w:rPr>
              <w:t>31</w:t>
            </w:r>
          </w:p>
        </w:tc>
        <w:tc>
          <w:tcPr>
            <w:tcW w:w="10340" w:type="dxa"/>
            <w:vAlign w:val="center"/>
          </w:tcPr>
          <w:p w14:paraId="7559AD60">
            <w:pPr>
              <w:spacing w:after="0" w:line="240" w:lineRule="auto"/>
              <w:rPr>
                <w:rFonts w:hint="eastAsia" w:eastAsia="仿宋_GB2312"/>
                <w:lang w:eastAsia="zh-CN"/>
              </w:rPr>
            </w:pPr>
            <w:r>
              <w:rPr>
                <w:rFonts w:ascii="仿宋_GB2312" w:hAnsi="仿宋_GB2312" w:eastAsia="仿宋_GB2312"/>
                <w:b w:val="0"/>
                <w:sz w:val="18"/>
              </w:rPr>
              <w:t>设置信息导引及发布系统</w:t>
            </w:r>
            <w:r>
              <w:rPr>
                <w:rFonts w:hint="eastAsia" w:ascii="仿宋_GB2312" w:hAnsi="仿宋_GB2312" w:eastAsia="仿宋_GB2312"/>
                <w:b w:val="0"/>
                <w:sz w:val="18"/>
                <w:lang w:eastAsia="zh-CN"/>
              </w:rPr>
              <w:t>。</w:t>
            </w:r>
          </w:p>
        </w:tc>
        <w:tc>
          <w:tcPr>
            <w:tcW w:w="1619" w:type="dxa"/>
            <w:vAlign w:val="center"/>
          </w:tcPr>
          <w:p w14:paraId="3CA640B3">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0641C2A3">
            <w:pPr>
              <w:spacing w:after="0" w:line="240" w:lineRule="auto"/>
            </w:pPr>
          </w:p>
        </w:tc>
      </w:tr>
      <w:tr w14:paraId="3F24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D7003F4">
            <w:pPr>
              <w:spacing w:after="0" w:line="240" w:lineRule="auto"/>
              <w:jc w:val="center"/>
            </w:pPr>
            <w:r>
              <w:rPr>
                <w:rFonts w:ascii="仿宋_GB2312" w:hAnsi="仿宋_GB2312" w:eastAsia="仿宋_GB2312"/>
                <w:b w:val="0"/>
                <w:sz w:val="18"/>
              </w:rPr>
              <w:t>32</w:t>
            </w:r>
          </w:p>
        </w:tc>
        <w:tc>
          <w:tcPr>
            <w:tcW w:w="10340" w:type="dxa"/>
            <w:vAlign w:val="center"/>
          </w:tcPr>
          <w:p w14:paraId="6A95F7CB">
            <w:pPr>
              <w:spacing w:after="0" w:line="240" w:lineRule="auto"/>
              <w:rPr>
                <w:rFonts w:hint="eastAsia" w:eastAsia="仿宋_GB2312"/>
                <w:lang w:eastAsia="zh-CN"/>
              </w:rPr>
            </w:pPr>
            <w:r>
              <w:rPr>
                <w:rFonts w:ascii="仿宋_GB2312" w:hAnsi="仿宋_GB2312" w:eastAsia="仿宋_GB2312"/>
                <w:b w:val="0"/>
                <w:sz w:val="18"/>
              </w:rPr>
              <w:t>在住宅入口附近、单元内、电梯内等位置设置显示屏，提供告知、信息发布及查询等功能</w:t>
            </w:r>
            <w:r>
              <w:rPr>
                <w:rFonts w:hint="eastAsia" w:ascii="仿宋_GB2312" w:hAnsi="仿宋_GB2312" w:eastAsia="仿宋_GB2312"/>
                <w:b w:val="0"/>
                <w:sz w:val="18"/>
                <w:lang w:eastAsia="zh-CN"/>
              </w:rPr>
              <w:t>。</w:t>
            </w:r>
          </w:p>
        </w:tc>
        <w:tc>
          <w:tcPr>
            <w:tcW w:w="1619" w:type="dxa"/>
            <w:vAlign w:val="center"/>
          </w:tcPr>
          <w:p w14:paraId="4FF92537">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0FB757E2">
            <w:pPr>
              <w:spacing w:after="0" w:line="240" w:lineRule="auto"/>
            </w:pPr>
          </w:p>
        </w:tc>
      </w:tr>
      <w:tr w14:paraId="081D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184C5D0">
            <w:pPr>
              <w:spacing w:after="0" w:line="240" w:lineRule="auto"/>
              <w:jc w:val="center"/>
            </w:pPr>
            <w:r>
              <w:rPr>
                <w:rFonts w:ascii="仿宋_GB2312" w:hAnsi="仿宋_GB2312" w:eastAsia="仿宋_GB2312"/>
                <w:b w:val="0"/>
                <w:sz w:val="18"/>
              </w:rPr>
              <w:t>33</w:t>
            </w:r>
          </w:p>
        </w:tc>
        <w:tc>
          <w:tcPr>
            <w:tcW w:w="10340" w:type="dxa"/>
            <w:vAlign w:val="center"/>
          </w:tcPr>
          <w:p w14:paraId="1D213B8D">
            <w:pPr>
              <w:spacing w:after="0" w:line="240" w:lineRule="auto"/>
            </w:pPr>
            <w:r>
              <w:rPr>
                <w:rFonts w:ascii="仿宋_GB2312" w:hAnsi="仿宋_GB2312" w:eastAsia="仿宋_GB2312"/>
                <w:b w:val="0"/>
                <w:sz w:val="18"/>
              </w:rPr>
              <w:t>推广智能照明控制系统，根据环境光线强度或人员活动情况自动调节照明亮度，实现节能降耗。</w:t>
            </w:r>
          </w:p>
        </w:tc>
        <w:tc>
          <w:tcPr>
            <w:tcW w:w="1619" w:type="dxa"/>
            <w:vAlign w:val="center"/>
          </w:tcPr>
          <w:p w14:paraId="3E4CED12">
            <w:pPr>
              <w:spacing w:after="0" w:line="240" w:lineRule="auto"/>
              <w:jc w:val="center"/>
            </w:pPr>
            <w:r>
              <w:rPr>
                <w:rFonts w:ascii="仿宋_GB2312" w:hAnsi="仿宋_GB2312" w:eastAsia="仿宋_GB2312"/>
                <w:b w:val="0"/>
                <w:sz w:val="18"/>
              </w:rPr>
              <w:t>□符合 □不符合</w:t>
            </w:r>
          </w:p>
        </w:tc>
        <w:tc>
          <w:tcPr>
            <w:tcW w:w="1761" w:type="dxa"/>
            <w:vMerge w:val="continue"/>
            <w:vAlign w:val="center"/>
          </w:tcPr>
          <w:p w14:paraId="51BD19B0">
            <w:pPr>
              <w:spacing w:after="0" w:line="240" w:lineRule="auto"/>
            </w:pPr>
          </w:p>
        </w:tc>
      </w:tr>
    </w:tbl>
    <w:p w14:paraId="751E8CF3">
      <w:pPr>
        <w:rPr>
          <w:rFonts w:ascii="楷体_GB2312" w:hAnsi="楷体_GB2312" w:eastAsia="楷体_GB2312"/>
          <w:b/>
          <w:bCs w:val="0"/>
          <w:sz w:val="28"/>
          <w:szCs w:val="28"/>
        </w:rPr>
      </w:pPr>
      <w:r>
        <w:rPr>
          <w:rFonts w:ascii="楷体_GB2312" w:hAnsi="楷体_GB2312" w:eastAsia="楷体_GB2312"/>
          <w:b/>
          <w:bCs w:val="0"/>
          <w:sz w:val="28"/>
          <w:szCs w:val="28"/>
        </w:rPr>
        <w:t>（三）加分项（共</w:t>
      </w:r>
      <w:r>
        <w:rPr>
          <w:rFonts w:hint="eastAsia" w:ascii="楷体_GB2312" w:hAnsi="楷体_GB2312" w:eastAsia="楷体_GB2312"/>
          <w:b/>
          <w:bCs w:val="0"/>
          <w:sz w:val="28"/>
          <w:szCs w:val="28"/>
          <w:lang w:val="en-US" w:eastAsia="zh-CN"/>
        </w:rPr>
        <w:t>3</w:t>
      </w:r>
      <w:r>
        <w:rPr>
          <w:rFonts w:ascii="楷体_GB2312" w:hAnsi="楷体_GB2312" w:eastAsia="楷体_GB2312"/>
          <w:b/>
          <w:bCs w:val="0"/>
          <w:sz w:val="28"/>
          <w:szCs w:val="28"/>
        </w:rPr>
        <w:t>条）</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0340"/>
        <w:gridCol w:w="1619"/>
        <w:gridCol w:w="1761"/>
      </w:tblGrid>
      <w:tr w14:paraId="0633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2F2F2"/>
            <w:vAlign w:val="center"/>
          </w:tcPr>
          <w:p w14:paraId="1E4054A5">
            <w:pPr>
              <w:spacing w:after="0" w:line="240" w:lineRule="auto"/>
              <w:jc w:val="center"/>
              <w:rPr>
                <w:rFonts w:ascii="黑体" w:hAnsi="黑体" w:eastAsia="黑体"/>
                <w:b/>
                <w:sz w:val="24"/>
                <w:szCs w:val="24"/>
              </w:rPr>
            </w:pPr>
            <w:r>
              <w:rPr>
                <w:rFonts w:ascii="黑体" w:hAnsi="黑体" w:eastAsia="黑体"/>
                <w:b/>
                <w:sz w:val="24"/>
                <w:szCs w:val="24"/>
              </w:rPr>
              <w:t>序号</w:t>
            </w:r>
          </w:p>
        </w:tc>
        <w:tc>
          <w:tcPr>
            <w:tcW w:w="10340" w:type="dxa"/>
            <w:shd w:val="clear" w:color="auto" w:fill="F2F2F2"/>
            <w:vAlign w:val="center"/>
          </w:tcPr>
          <w:p w14:paraId="41D43B9F">
            <w:pPr>
              <w:spacing w:after="0" w:line="240" w:lineRule="auto"/>
              <w:jc w:val="center"/>
              <w:rPr>
                <w:rFonts w:ascii="黑体" w:hAnsi="黑体" w:eastAsia="黑体"/>
                <w:b/>
                <w:sz w:val="24"/>
                <w:szCs w:val="24"/>
              </w:rPr>
            </w:pPr>
            <w:r>
              <w:rPr>
                <w:rFonts w:ascii="黑体" w:hAnsi="黑体" w:eastAsia="黑体"/>
                <w:b/>
                <w:sz w:val="24"/>
                <w:szCs w:val="24"/>
              </w:rPr>
              <w:t>加分项内容</w:t>
            </w:r>
          </w:p>
        </w:tc>
        <w:tc>
          <w:tcPr>
            <w:tcW w:w="1619" w:type="dxa"/>
            <w:shd w:val="clear" w:color="auto" w:fill="F2F2F2"/>
            <w:vAlign w:val="center"/>
          </w:tcPr>
          <w:p w14:paraId="66BF843C">
            <w:pPr>
              <w:spacing w:after="0" w:line="240" w:lineRule="auto"/>
              <w:jc w:val="center"/>
              <w:rPr>
                <w:rFonts w:ascii="黑体" w:hAnsi="黑体" w:eastAsia="黑体"/>
                <w:b/>
                <w:sz w:val="24"/>
                <w:szCs w:val="24"/>
              </w:rPr>
            </w:pPr>
            <w:r>
              <w:rPr>
                <w:rFonts w:ascii="黑体" w:hAnsi="黑体" w:eastAsia="黑体"/>
                <w:b/>
                <w:sz w:val="24"/>
                <w:szCs w:val="24"/>
              </w:rPr>
              <w:t>自查结果</w:t>
            </w:r>
          </w:p>
        </w:tc>
        <w:tc>
          <w:tcPr>
            <w:tcW w:w="1761" w:type="dxa"/>
            <w:shd w:val="clear" w:color="auto" w:fill="F2F2F2"/>
            <w:vAlign w:val="center"/>
          </w:tcPr>
          <w:p w14:paraId="1CA6BA7C">
            <w:pPr>
              <w:spacing w:after="0" w:line="240" w:lineRule="auto"/>
              <w:jc w:val="center"/>
              <w:rPr>
                <w:rFonts w:ascii="黑体" w:hAnsi="黑体" w:eastAsia="黑体"/>
                <w:b/>
                <w:sz w:val="24"/>
                <w:szCs w:val="24"/>
              </w:rPr>
            </w:pPr>
            <w:r>
              <w:rPr>
                <w:rFonts w:ascii="黑体" w:hAnsi="黑体" w:eastAsia="黑体"/>
                <w:b/>
                <w:sz w:val="24"/>
                <w:szCs w:val="24"/>
              </w:rPr>
              <w:t>备注</w:t>
            </w:r>
          </w:p>
        </w:tc>
      </w:tr>
      <w:tr w14:paraId="3C14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0861E9E">
            <w:pPr>
              <w:spacing w:after="0" w:line="240" w:lineRule="auto"/>
              <w:jc w:val="center"/>
            </w:pPr>
            <w:r>
              <w:rPr>
                <w:rFonts w:ascii="仿宋_GB2312" w:hAnsi="仿宋_GB2312" w:eastAsia="仿宋_GB2312"/>
                <w:b w:val="0"/>
                <w:sz w:val="18"/>
              </w:rPr>
              <w:t>1</w:t>
            </w:r>
          </w:p>
        </w:tc>
        <w:tc>
          <w:tcPr>
            <w:tcW w:w="10340" w:type="dxa"/>
            <w:vAlign w:val="center"/>
          </w:tcPr>
          <w:p w14:paraId="4A105359">
            <w:pPr>
              <w:spacing w:after="0" w:line="240" w:lineRule="auto"/>
            </w:pPr>
            <w:r>
              <w:rPr>
                <w:rFonts w:ascii="仿宋_GB2312" w:hAnsi="仿宋_GB2312" w:eastAsia="仿宋_GB2312"/>
                <w:b w:val="0"/>
                <w:sz w:val="18"/>
              </w:rPr>
              <w:t>打造全屋智能无感交互系统，结合语音、体感、人脸识别等技术，实现智能家居免操作自动响应，支持多设备联动场景定制。</w:t>
            </w:r>
          </w:p>
        </w:tc>
        <w:tc>
          <w:tcPr>
            <w:tcW w:w="1619" w:type="dxa"/>
            <w:vAlign w:val="center"/>
          </w:tcPr>
          <w:p w14:paraId="257773A8">
            <w:pPr>
              <w:spacing w:after="0" w:line="240" w:lineRule="auto"/>
              <w:jc w:val="center"/>
            </w:pPr>
            <w:r>
              <w:rPr>
                <w:rFonts w:ascii="仿宋_GB2312" w:hAnsi="仿宋_GB2312" w:eastAsia="仿宋_GB2312"/>
                <w:b w:val="0"/>
                <w:sz w:val="18"/>
              </w:rPr>
              <w:t>□符合 □不符合</w:t>
            </w:r>
          </w:p>
        </w:tc>
        <w:tc>
          <w:tcPr>
            <w:tcW w:w="1761" w:type="dxa"/>
            <w:vAlign w:val="center"/>
          </w:tcPr>
          <w:p w14:paraId="57AF05CC">
            <w:pPr>
              <w:spacing w:after="0" w:line="240" w:lineRule="auto"/>
              <w:jc w:val="center"/>
              <w:rPr>
                <w:rFonts w:hint="default" w:eastAsia="宋体"/>
                <w:lang w:val="en-US" w:eastAsia="zh-CN"/>
              </w:rPr>
            </w:pPr>
            <w:r>
              <w:rPr>
                <w:rFonts w:hint="eastAsia" w:ascii="仿宋_GB2312" w:hAnsi="仿宋_GB2312" w:eastAsia="仿宋_GB2312"/>
                <w:b w:val="0"/>
                <w:sz w:val="18"/>
                <w:lang w:val="en-US" w:eastAsia="zh-CN"/>
              </w:rPr>
              <w:t>1分</w:t>
            </w:r>
          </w:p>
        </w:tc>
      </w:tr>
      <w:tr w14:paraId="0719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C288A1F">
            <w:pPr>
              <w:spacing w:after="0" w:line="240" w:lineRule="auto"/>
              <w:jc w:val="center"/>
            </w:pPr>
            <w:r>
              <w:rPr>
                <w:rFonts w:ascii="仿宋_GB2312" w:hAnsi="仿宋_GB2312" w:eastAsia="仿宋_GB2312"/>
                <w:b w:val="0"/>
                <w:sz w:val="18"/>
              </w:rPr>
              <w:t>2</w:t>
            </w:r>
          </w:p>
        </w:tc>
        <w:tc>
          <w:tcPr>
            <w:tcW w:w="10340" w:type="dxa"/>
            <w:vAlign w:val="center"/>
          </w:tcPr>
          <w:p w14:paraId="39073395">
            <w:pPr>
              <w:spacing w:after="0" w:line="240" w:lineRule="auto"/>
            </w:pPr>
            <w:r>
              <w:rPr>
                <w:rFonts w:ascii="仿宋_GB2312" w:hAnsi="仿宋_GB2312" w:eastAsia="仿宋_GB2312"/>
                <w:b w:val="0"/>
                <w:sz w:val="18"/>
              </w:rPr>
              <w:t>打造无障碍+适老化+儿童友好一体化社区，设置智能助老设备、儿童安全监测系统，实现全年龄段人群便捷、安全居住。</w:t>
            </w:r>
          </w:p>
        </w:tc>
        <w:tc>
          <w:tcPr>
            <w:tcW w:w="1619" w:type="dxa"/>
            <w:vAlign w:val="center"/>
          </w:tcPr>
          <w:p w14:paraId="5F4F24CE">
            <w:pPr>
              <w:spacing w:after="0" w:line="240" w:lineRule="auto"/>
              <w:jc w:val="center"/>
            </w:pPr>
            <w:r>
              <w:rPr>
                <w:rFonts w:ascii="仿宋_GB2312" w:hAnsi="仿宋_GB2312" w:eastAsia="仿宋_GB2312"/>
                <w:b w:val="0"/>
                <w:sz w:val="18"/>
              </w:rPr>
              <w:t>□符合 □不符合</w:t>
            </w:r>
          </w:p>
        </w:tc>
        <w:tc>
          <w:tcPr>
            <w:tcW w:w="1761" w:type="dxa"/>
            <w:vAlign w:val="center"/>
          </w:tcPr>
          <w:p w14:paraId="694931CF">
            <w:pPr>
              <w:spacing w:after="0" w:line="240" w:lineRule="auto"/>
              <w:jc w:val="center"/>
              <w:rPr>
                <w:rFonts w:hint="eastAsia" w:eastAsia="仿宋_GB2312"/>
                <w:lang w:eastAsia="zh-CN"/>
              </w:rPr>
            </w:pPr>
            <w:r>
              <w:rPr>
                <w:rFonts w:ascii="仿宋_GB2312" w:hAnsi="仿宋_GB2312" w:eastAsia="仿宋_GB2312"/>
                <w:b w:val="0"/>
                <w:sz w:val="18"/>
              </w:rPr>
              <w:t>运行评价</w:t>
            </w:r>
            <w:r>
              <w:rPr>
                <w:rFonts w:hint="eastAsia" w:ascii="仿宋_GB2312" w:hAnsi="仿宋_GB2312" w:eastAsia="仿宋_GB2312"/>
                <w:b w:val="0"/>
                <w:sz w:val="18"/>
                <w:lang w:eastAsia="zh-CN"/>
              </w:rPr>
              <w:t>（</w:t>
            </w:r>
            <w:r>
              <w:rPr>
                <w:rFonts w:hint="eastAsia" w:ascii="仿宋_GB2312" w:hAnsi="仿宋_GB2312" w:eastAsia="仿宋_GB2312"/>
                <w:b w:val="0"/>
                <w:sz w:val="18"/>
                <w:lang w:val="en-US" w:eastAsia="zh-CN"/>
              </w:rPr>
              <w:t>1分</w:t>
            </w:r>
            <w:r>
              <w:rPr>
                <w:rFonts w:hint="eastAsia" w:ascii="仿宋_GB2312" w:hAnsi="仿宋_GB2312" w:eastAsia="仿宋_GB2312"/>
                <w:b w:val="0"/>
                <w:sz w:val="18"/>
                <w:lang w:eastAsia="zh-CN"/>
              </w:rPr>
              <w:t>）</w:t>
            </w:r>
          </w:p>
        </w:tc>
      </w:tr>
      <w:tr w14:paraId="3D3C9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EDA5E7D">
            <w:pPr>
              <w:spacing w:after="0" w:line="240" w:lineRule="auto"/>
              <w:jc w:val="center"/>
            </w:pPr>
            <w:r>
              <w:rPr>
                <w:rFonts w:ascii="仿宋_GB2312" w:hAnsi="仿宋_GB2312" w:eastAsia="仿宋_GB2312"/>
                <w:b w:val="0"/>
                <w:sz w:val="18"/>
              </w:rPr>
              <w:t>3</w:t>
            </w:r>
          </w:p>
        </w:tc>
        <w:tc>
          <w:tcPr>
            <w:tcW w:w="10340" w:type="dxa"/>
            <w:vAlign w:val="center"/>
          </w:tcPr>
          <w:p w14:paraId="004BAC36">
            <w:pPr>
              <w:spacing w:after="0" w:line="240" w:lineRule="auto"/>
            </w:pPr>
            <w:r>
              <w:rPr>
                <w:rFonts w:ascii="仿宋_GB2312" w:hAnsi="仿宋_GB2312" w:eastAsia="仿宋_GB2312"/>
                <w:b w:val="0"/>
                <w:sz w:val="18"/>
              </w:rPr>
              <w:t>建立集预防与应急准备、监测与预警、应急处置与救援于一体的突发事件应急预案；依托感知设备及时发现、快速定位、上传信息，供应急管理部门或相关人员及时处理突发事件。</w:t>
            </w:r>
          </w:p>
        </w:tc>
        <w:tc>
          <w:tcPr>
            <w:tcW w:w="1619" w:type="dxa"/>
            <w:vAlign w:val="center"/>
          </w:tcPr>
          <w:p w14:paraId="18C2B556">
            <w:pPr>
              <w:spacing w:after="0" w:line="240" w:lineRule="auto"/>
              <w:jc w:val="center"/>
            </w:pPr>
            <w:r>
              <w:rPr>
                <w:rFonts w:ascii="仿宋_GB2312" w:hAnsi="仿宋_GB2312" w:eastAsia="仿宋_GB2312"/>
                <w:b w:val="0"/>
                <w:sz w:val="18"/>
              </w:rPr>
              <w:t>□符合 □不符合</w:t>
            </w:r>
          </w:p>
        </w:tc>
        <w:tc>
          <w:tcPr>
            <w:tcW w:w="1761" w:type="dxa"/>
            <w:vAlign w:val="center"/>
          </w:tcPr>
          <w:p w14:paraId="718EF9A0">
            <w:pPr>
              <w:spacing w:after="0" w:line="240" w:lineRule="auto"/>
              <w:jc w:val="center"/>
            </w:pPr>
            <w:r>
              <w:rPr>
                <w:rFonts w:ascii="仿宋_GB2312" w:hAnsi="仿宋_GB2312" w:eastAsia="仿宋_GB2312"/>
                <w:b w:val="0"/>
                <w:sz w:val="18"/>
              </w:rPr>
              <w:t>运行评价</w:t>
            </w:r>
            <w:r>
              <w:rPr>
                <w:rFonts w:hint="eastAsia" w:ascii="仿宋_GB2312" w:hAnsi="仿宋_GB2312" w:eastAsia="仿宋_GB2312"/>
                <w:b w:val="0"/>
                <w:sz w:val="18"/>
                <w:lang w:eastAsia="zh-CN"/>
              </w:rPr>
              <w:t>（</w:t>
            </w:r>
            <w:r>
              <w:rPr>
                <w:rFonts w:hint="eastAsia" w:ascii="仿宋_GB2312" w:hAnsi="仿宋_GB2312" w:eastAsia="仿宋_GB2312"/>
                <w:b w:val="0"/>
                <w:sz w:val="18"/>
                <w:lang w:val="en-US" w:eastAsia="zh-CN"/>
              </w:rPr>
              <w:t>1分</w:t>
            </w:r>
            <w:r>
              <w:rPr>
                <w:rFonts w:hint="eastAsia" w:ascii="仿宋_GB2312" w:hAnsi="仿宋_GB2312" w:eastAsia="仿宋_GB2312"/>
                <w:b w:val="0"/>
                <w:sz w:val="18"/>
                <w:lang w:eastAsia="zh-CN"/>
              </w:rPr>
              <w:t>）</w:t>
            </w:r>
          </w:p>
        </w:tc>
      </w:tr>
    </w:tbl>
    <w:p w14:paraId="3DD6A9F8">
      <w:r>
        <w:rPr>
          <w:rFonts w:ascii="仿宋_GB2312" w:hAnsi="仿宋_GB2312" w:eastAsia="仿宋_GB2312"/>
          <w:sz w:val="24"/>
        </w:rPr>
        <w:t xml:space="preserve">建设单位（盖章）：            </w:t>
      </w:r>
      <w:r>
        <w:rPr>
          <w:rFonts w:hint="eastAsia" w:ascii="仿宋_GB2312" w:hAnsi="仿宋_GB2312" w:eastAsia="仿宋_GB2312"/>
          <w:sz w:val="24"/>
          <w:lang w:val="en-US" w:eastAsia="zh-CN"/>
        </w:rPr>
        <w:t xml:space="preserve">    </w:t>
      </w:r>
      <w:r>
        <w:rPr>
          <w:rFonts w:ascii="仿宋_GB2312" w:hAnsi="仿宋_GB2312" w:eastAsia="仿宋_GB2312"/>
          <w:sz w:val="24"/>
        </w:rPr>
        <w:t xml:space="preserve">  项目负责人（签字）：     </w:t>
      </w:r>
      <w:r>
        <w:rPr>
          <w:rFonts w:hint="eastAsia" w:ascii="仿宋_GB2312" w:hAnsi="仿宋_GB2312" w:eastAsia="仿宋_GB2312"/>
          <w:sz w:val="24"/>
          <w:lang w:val="en-US" w:eastAsia="zh-CN"/>
        </w:rPr>
        <w:t xml:space="preserve">  </w:t>
      </w:r>
      <w:r>
        <w:rPr>
          <w:rFonts w:ascii="仿宋_GB2312" w:hAnsi="仿宋_GB2312" w:eastAsia="仿宋_GB2312"/>
          <w:sz w:val="24"/>
        </w:rPr>
        <w:t xml:space="preserve"> </w:t>
      </w:r>
      <w:r>
        <w:rPr>
          <w:rFonts w:hint="eastAsia"/>
          <w:sz w:val="24"/>
          <w:lang w:val="en-US" w:eastAsia="zh-CN"/>
        </w:rPr>
        <w:t xml:space="preserve">                     </w:t>
      </w:r>
      <w:r>
        <w:rPr>
          <w:rFonts w:hint="eastAsia" w:ascii="仿宋_GB2312" w:hAnsi="仿宋_GB2312" w:eastAsia="仿宋_GB2312"/>
          <w:sz w:val="24"/>
          <w:lang w:val="en-US" w:eastAsia="zh-CN"/>
        </w:rPr>
        <w:t>法定代表人（签字）：</w:t>
      </w:r>
      <w:r>
        <w:rPr>
          <w:rFonts w:ascii="仿宋_GB2312" w:hAnsi="仿宋_GB2312" w:eastAsia="仿宋_GB2312"/>
          <w:sz w:val="24"/>
        </w:rPr>
        <w:t xml:space="preserve">        </w:t>
      </w:r>
      <w:r>
        <w:rPr>
          <w:rFonts w:hint="eastAsia" w:ascii="仿宋_GB2312" w:hAnsi="仿宋_GB2312" w:eastAsia="仿宋_GB2312"/>
          <w:sz w:val="24"/>
          <w:lang w:val="en-US" w:eastAsia="zh-CN"/>
        </w:rPr>
        <w:t xml:space="preserve">             </w:t>
      </w:r>
    </w:p>
    <w:p w14:paraId="532FD403"/>
    <w:p w14:paraId="11F07100"/>
    <w:p w14:paraId="436B4391"/>
    <w:p w14:paraId="137219B7">
      <w:r>
        <w:br w:type="page"/>
      </w:r>
    </w:p>
    <w:p w14:paraId="27F708FF">
      <w:pPr>
        <w:spacing w:after="200"/>
        <w:jc w:val="center"/>
        <w:rPr>
          <w:b w:val="0"/>
          <w:bCs/>
          <w:sz w:val="44"/>
          <w:szCs w:val="44"/>
        </w:rPr>
      </w:pPr>
      <w:r>
        <w:rPr>
          <w:rFonts w:ascii="方正小标宋简体" w:hAnsi="方正小标宋简体" w:eastAsia="方正小标宋简体"/>
          <w:b w:val="0"/>
          <w:bCs/>
          <w:sz w:val="44"/>
          <w:szCs w:val="44"/>
        </w:rPr>
        <w:t>评价规则说明</w:t>
      </w:r>
    </w:p>
    <w:p w14:paraId="62DC32E2">
      <w:pPr>
        <w:keepNext w:val="0"/>
        <w:keepLines w:val="0"/>
        <w:pageBreakBefore w:val="0"/>
        <w:widowControl/>
        <w:kinsoku/>
        <w:wordWrap/>
        <w:overflowPunct/>
        <w:topLinePunct w:val="0"/>
        <w:autoSpaceDE/>
        <w:autoSpaceDN/>
        <w:bidi w:val="0"/>
        <w:adjustRightInd/>
        <w:snapToGrid/>
        <w:spacing w:after="40" w:line="440" w:lineRule="exact"/>
        <w:ind w:firstLine="640" w:firstLineChars="200"/>
        <w:textAlignment w:val="auto"/>
        <w:rPr>
          <w:sz w:val="32"/>
          <w:szCs w:val="32"/>
        </w:rPr>
      </w:pPr>
      <w:r>
        <w:rPr>
          <w:rFonts w:ascii="仿宋_GB2312" w:hAnsi="仿宋_GB2312" w:eastAsia="仿宋_GB2312"/>
          <w:b w:val="0"/>
          <w:sz w:val="32"/>
          <w:szCs w:val="32"/>
        </w:rPr>
        <w:t>申报单位只需对照控制项、评分项、加分项逐项自查，在</w:t>
      </w:r>
      <w:r>
        <w:rPr>
          <w:rFonts w:hint="eastAsia" w:ascii="仿宋_GB2312" w:hAnsi="仿宋_GB2312" w:eastAsia="仿宋_GB2312"/>
          <w:b w:val="0"/>
          <w:sz w:val="32"/>
          <w:szCs w:val="32"/>
          <w:lang w:eastAsia="zh-CN"/>
        </w:rPr>
        <w:t>“</w:t>
      </w:r>
      <w:r>
        <w:rPr>
          <w:rFonts w:ascii="仿宋_GB2312" w:hAnsi="仿宋_GB2312" w:eastAsia="仿宋_GB2312"/>
          <w:b w:val="0"/>
          <w:sz w:val="32"/>
          <w:szCs w:val="32"/>
        </w:rPr>
        <w:t>自查结果</w:t>
      </w:r>
      <w:r>
        <w:rPr>
          <w:rFonts w:hint="eastAsia" w:ascii="仿宋_GB2312" w:hAnsi="仿宋_GB2312" w:eastAsia="仿宋_GB2312"/>
          <w:b w:val="0"/>
          <w:sz w:val="32"/>
          <w:szCs w:val="32"/>
          <w:lang w:eastAsia="zh-CN"/>
        </w:rPr>
        <w:t>”</w:t>
      </w:r>
      <w:r>
        <w:rPr>
          <w:rFonts w:ascii="仿宋_GB2312" w:hAnsi="仿宋_GB2312" w:eastAsia="仿宋_GB2312"/>
          <w:b w:val="0"/>
          <w:sz w:val="32"/>
          <w:szCs w:val="32"/>
        </w:rPr>
        <w:t>栏勾选</w:t>
      </w:r>
      <w:r>
        <w:rPr>
          <w:rFonts w:hint="eastAsia" w:ascii="仿宋_GB2312" w:hAnsi="仿宋_GB2312" w:eastAsia="仿宋_GB2312"/>
          <w:b w:val="0"/>
          <w:sz w:val="32"/>
          <w:szCs w:val="32"/>
          <w:lang w:eastAsia="zh-CN"/>
        </w:rPr>
        <w:t>“</w:t>
      </w:r>
      <w:r>
        <w:rPr>
          <w:rFonts w:ascii="仿宋_GB2312" w:hAnsi="仿宋_GB2312" w:eastAsia="仿宋_GB2312"/>
          <w:b w:val="0"/>
          <w:sz w:val="32"/>
          <w:szCs w:val="32"/>
        </w:rPr>
        <w:t>符合</w:t>
      </w:r>
      <w:r>
        <w:rPr>
          <w:rFonts w:hint="eastAsia" w:ascii="仿宋_GB2312" w:hAnsi="仿宋_GB2312" w:eastAsia="仿宋_GB2312"/>
          <w:b w:val="0"/>
          <w:sz w:val="32"/>
          <w:szCs w:val="32"/>
          <w:lang w:eastAsia="zh-CN"/>
        </w:rPr>
        <w:t>”</w:t>
      </w:r>
      <w:r>
        <w:rPr>
          <w:rFonts w:ascii="仿宋_GB2312" w:hAnsi="仿宋_GB2312" w:eastAsia="仿宋_GB2312"/>
          <w:b w:val="0"/>
          <w:sz w:val="32"/>
          <w:szCs w:val="32"/>
        </w:rPr>
        <w:t>或</w:t>
      </w:r>
      <w:r>
        <w:rPr>
          <w:rFonts w:hint="eastAsia" w:ascii="仿宋_GB2312" w:hAnsi="仿宋_GB2312" w:eastAsia="仿宋_GB2312"/>
          <w:b w:val="0"/>
          <w:sz w:val="32"/>
          <w:szCs w:val="32"/>
          <w:lang w:eastAsia="zh-CN"/>
        </w:rPr>
        <w:t>“</w:t>
      </w:r>
      <w:r>
        <w:rPr>
          <w:rFonts w:ascii="仿宋_GB2312" w:hAnsi="仿宋_GB2312" w:eastAsia="仿宋_GB2312"/>
          <w:b w:val="0"/>
          <w:sz w:val="32"/>
          <w:szCs w:val="32"/>
        </w:rPr>
        <w:t>不符合</w:t>
      </w:r>
      <w:r>
        <w:rPr>
          <w:rFonts w:hint="eastAsia" w:ascii="仿宋_GB2312" w:hAnsi="仿宋_GB2312" w:eastAsia="仿宋_GB2312"/>
          <w:b w:val="0"/>
          <w:sz w:val="32"/>
          <w:szCs w:val="32"/>
          <w:lang w:eastAsia="zh-CN"/>
        </w:rPr>
        <w:t>”</w:t>
      </w:r>
      <w:r>
        <w:rPr>
          <w:rFonts w:ascii="仿宋_GB2312" w:hAnsi="仿宋_GB2312" w:eastAsia="仿宋_GB2312"/>
          <w:b w:val="0"/>
          <w:sz w:val="32"/>
          <w:szCs w:val="32"/>
        </w:rPr>
        <w:t>即可，不需自行计算得分。具体评价得分和等级由专家评价组按照《山西省好房子分级评价指引》统一评定。</w:t>
      </w:r>
    </w:p>
    <w:p w14:paraId="39415253">
      <w:pPr>
        <w:keepNext w:val="0"/>
        <w:keepLines w:val="0"/>
        <w:pageBreakBefore w:val="0"/>
        <w:widowControl/>
        <w:kinsoku/>
        <w:wordWrap/>
        <w:overflowPunct/>
        <w:topLinePunct w:val="0"/>
        <w:autoSpaceDE/>
        <w:autoSpaceDN/>
        <w:bidi w:val="0"/>
        <w:adjustRightInd/>
        <w:snapToGrid/>
        <w:spacing w:before="120" w:after="60" w:line="440" w:lineRule="exact"/>
        <w:ind w:firstLine="640" w:firstLineChars="200"/>
        <w:textAlignment w:val="auto"/>
        <w:rPr>
          <w:b w:val="0"/>
          <w:bCs/>
          <w:sz w:val="32"/>
          <w:szCs w:val="32"/>
        </w:rPr>
      </w:pPr>
      <w:r>
        <w:rPr>
          <w:rFonts w:ascii="黑体" w:hAnsi="黑体" w:eastAsia="黑体"/>
          <w:b w:val="0"/>
          <w:bCs/>
          <w:sz w:val="32"/>
          <w:szCs w:val="32"/>
        </w:rPr>
        <w:t>一、评价指标体系</w:t>
      </w:r>
    </w:p>
    <w:p w14:paraId="22986B46">
      <w:pPr>
        <w:keepNext w:val="0"/>
        <w:keepLines w:val="0"/>
        <w:pageBreakBefore w:val="0"/>
        <w:widowControl/>
        <w:kinsoku/>
        <w:wordWrap/>
        <w:overflowPunct/>
        <w:topLinePunct w:val="0"/>
        <w:autoSpaceDE/>
        <w:autoSpaceDN/>
        <w:bidi w:val="0"/>
        <w:adjustRightInd/>
        <w:snapToGrid/>
        <w:spacing w:after="40" w:line="440" w:lineRule="exact"/>
        <w:ind w:firstLine="640" w:firstLineChars="200"/>
        <w:textAlignment w:val="auto"/>
        <w:rPr>
          <w:sz w:val="32"/>
          <w:szCs w:val="32"/>
        </w:rPr>
      </w:pPr>
      <w:r>
        <w:rPr>
          <w:rFonts w:ascii="仿宋_GB2312" w:hAnsi="仿宋_GB2312" w:eastAsia="仿宋_GB2312"/>
          <w:b w:val="0"/>
          <w:sz w:val="32"/>
          <w:szCs w:val="32"/>
        </w:rPr>
        <w:t>评价指标体系由安全耐久、健康舒适、绿色低碳、智慧便利4类指标组成，每类指标均包括控制项、评分项和加分项。控制项的评定结果为达标或不达标；评分项和加分项的评定结果为分值。</w:t>
      </w:r>
    </w:p>
    <w:p w14:paraId="2B332EA7">
      <w:pPr>
        <w:keepNext w:val="0"/>
        <w:keepLines w:val="0"/>
        <w:pageBreakBefore w:val="0"/>
        <w:widowControl/>
        <w:kinsoku/>
        <w:wordWrap/>
        <w:overflowPunct/>
        <w:topLinePunct w:val="0"/>
        <w:autoSpaceDE/>
        <w:autoSpaceDN/>
        <w:bidi w:val="0"/>
        <w:adjustRightInd/>
        <w:snapToGrid/>
        <w:spacing w:before="120" w:after="60" w:line="440" w:lineRule="exact"/>
        <w:ind w:firstLine="640" w:firstLineChars="200"/>
        <w:textAlignment w:val="auto"/>
        <w:rPr>
          <w:rFonts w:ascii="黑体" w:hAnsi="黑体" w:eastAsia="黑体"/>
          <w:b w:val="0"/>
          <w:bCs/>
          <w:sz w:val="32"/>
          <w:szCs w:val="32"/>
        </w:rPr>
      </w:pPr>
      <w:r>
        <w:rPr>
          <w:rFonts w:ascii="黑体" w:hAnsi="黑体" w:eastAsia="黑体"/>
          <w:b w:val="0"/>
          <w:bCs/>
          <w:sz w:val="32"/>
          <w:szCs w:val="32"/>
        </w:rPr>
        <w:t>二、评价分类</w:t>
      </w:r>
    </w:p>
    <w:p w14:paraId="46665704">
      <w:pPr>
        <w:keepNext w:val="0"/>
        <w:keepLines w:val="0"/>
        <w:pageBreakBefore w:val="0"/>
        <w:widowControl/>
        <w:kinsoku/>
        <w:wordWrap/>
        <w:overflowPunct/>
        <w:topLinePunct w:val="0"/>
        <w:autoSpaceDE/>
        <w:autoSpaceDN/>
        <w:bidi w:val="0"/>
        <w:adjustRightInd/>
        <w:snapToGrid/>
        <w:spacing w:after="40" w:line="440" w:lineRule="exact"/>
        <w:ind w:firstLine="640" w:firstLineChars="200"/>
        <w:textAlignment w:val="auto"/>
        <w:rPr>
          <w:sz w:val="32"/>
          <w:szCs w:val="32"/>
        </w:rPr>
      </w:pPr>
      <w:r>
        <w:rPr>
          <w:rFonts w:ascii="仿宋_GB2312" w:hAnsi="仿宋_GB2312" w:eastAsia="仿宋_GB2312"/>
          <w:b w:val="0"/>
          <w:sz w:val="32"/>
          <w:szCs w:val="32"/>
        </w:rPr>
        <w:t>1.设计评价：在施工图设计文件完成后进行，仅对设计阶段指标进行评价，不对建造、运维阶段指标进行评价。</w:t>
      </w:r>
    </w:p>
    <w:p w14:paraId="1116A2D7">
      <w:pPr>
        <w:keepNext w:val="0"/>
        <w:keepLines w:val="0"/>
        <w:pageBreakBefore w:val="0"/>
        <w:widowControl/>
        <w:kinsoku/>
        <w:wordWrap/>
        <w:overflowPunct/>
        <w:topLinePunct w:val="0"/>
        <w:autoSpaceDE/>
        <w:autoSpaceDN/>
        <w:bidi w:val="0"/>
        <w:adjustRightInd/>
        <w:snapToGrid/>
        <w:spacing w:after="40" w:line="440" w:lineRule="exact"/>
        <w:ind w:firstLine="640" w:firstLineChars="200"/>
        <w:textAlignment w:val="auto"/>
        <w:rPr>
          <w:sz w:val="32"/>
          <w:szCs w:val="32"/>
        </w:rPr>
      </w:pPr>
      <w:r>
        <w:rPr>
          <w:rFonts w:ascii="仿宋_GB2312" w:hAnsi="仿宋_GB2312" w:eastAsia="仿宋_GB2312"/>
          <w:b w:val="0"/>
          <w:sz w:val="32"/>
          <w:szCs w:val="32"/>
        </w:rPr>
        <w:t>2.运行评价：在通过竣工验收并交付使用满1年后进行，应对全部指标进行评价。</w:t>
      </w:r>
    </w:p>
    <w:p w14:paraId="4BED089E">
      <w:pPr>
        <w:keepNext w:val="0"/>
        <w:keepLines w:val="0"/>
        <w:pageBreakBefore w:val="0"/>
        <w:widowControl/>
        <w:kinsoku/>
        <w:wordWrap/>
        <w:overflowPunct/>
        <w:topLinePunct w:val="0"/>
        <w:autoSpaceDE/>
        <w:autoSpaceDN/>
        <w:bidi w:val="0"/>
        <w:adjustRightInd/>
        <w:snapToGrid/>
        <w:spacing w:before="120" w:after="60" w:line="440" w:lineRule="exact"/>
        <w:ind w:firstLine="640" w:firstLineChars="200"/>
        <w:textAlignment w:val="auto"/>
        <w:rPr>
          <w:rFonts w:ascii="黑体" w:hAnsi="黑体" w:eastAsia="黑体"/>
          <w:b w:val="0"/>
          <w:bCs/>
          <w:sz w:val="32"/>
          <w:szCs w:val="32"/>
        </w:rPr>
      </w:pPr>
      <w:r>
        <w:rPr>
          <w:rFonts w:ascii="黑体" w:hAnsi="黑体" w:eastAsia="黑体"/>
          <w:b w:val="0"/>
          <w:bCs/>
          <w:sz w:val="32"/>
          <w:szCs w:val="32"/>
        </w:rPr>
        <w:t>三、分值分配</w:t>
      </w:r>
    </w:p>
    <w:p w14:paraId="3B4C80E6">
      <w:pPr>
        <w:keepNext w:val="0"/>
        <w:keepLines w:val="0"/>
        <w:pageBreakBefore w:val="0"/>
        <w:widowControl/>
        <w:kinsoku/>
        <w:wordWrap/>
        <w:overflowPunct/>
        <w:topLinePunct w:val="0"/>
        <w:autoSpaceDE/>
        <w:autoSpaceDN/>
        <w:bidi w:val="0"/>
        <w:adjustRightInd/>
        <w:snapToGrid/>
        <w:spacing w:after="40" w:line="440" w:lineRule="exact"/>
        <w:ind w:firstLine="640" w:firstLineChars="200"/>
        <w:textAlignment w:val="auto"/>
        <w:rPr>
          <w:sz w:val="32"/>
          <w:szCs w:val="32"/>
        </w:rPr>
      </w:pPr>
      <w:r>
        <w:rPr>
          <w:rFonts w:ascii="仿宋_GB2312" w:hAnsi="仿宋_GB2312" w:eastAsia="仿宋_GB2312"/>
          <w:b w:val="0"/>
          <w:sz w:val="32"/>
          <w:szCs w:val="32"/>
        </w:rPr>
        <w:t>控制项基础分值600分（全部控制项达标即可获得）；评分项和加分项满分分值如下：</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701"/>
        <w:gridCol w:w="1701"/>
        <w:gridCol w:w="1701"/>
        <w:gridCol w:w="1701"/>
        <w:gridCol w:w="1701"/>
      </w:tblGrid>
      <w:tr w14:paraId="6DF3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F2F2F2"/>
            <w:vAlign w:val="center"/>
          </w:tcPr>
          <w:p w14:paraId="329067B4">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sz w:val="32"/>
                <w:szCs w:val="32"/>
              </w:rPr>
              <w:t>评价类型</w:t>
            </w:r>
          </w:p>
        </w:tc>
        <w:tc>
          <w:tcPr>
            <w:tcW w:w="1701" w:type="dxa"/>
            <w:shd w:val="clear" w:color="auto" w:fill="F2F2F2"/>
            <w:vAlign w:val="center"/>
          </w:tcPr>
          <w:p w14:paraId="5D716286">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rFonts w:hint="eastAsia" w:eastAsia="仿宋_GB2312"/>
                <w:sz w:val="32"/>
                <w:szCs w:val="32"/>
                <w:lang w:eastAsia="zh-CN"/>
              </w:rPr>
            </w:pPr>
            <w:r>
              <w:rPr>
                <w:rFonts w:ascii="仿宋_GB2312" w:hAnsi="仿宋_GB2312" w:eastAsia="仿宋_GB2312"/>
                <w:b/>
                <w:sz w:val="32"/>
                <w:szCs w:val="32"/>
              </w:rPr>
              <w:t>安全耐久</w:t>
            </w:r>
            <w:r>
              <w:rPr>
                <w:rFonts w:hint="eastAsia" w:ascii="仿宋_GB2312" w:hAnsi="仿宋_GB2312" w:eastAsia="仿宋_GB2312"/>
                <w:b/>
                <w:sz w:val="32"/>
                <w:szCs w:val="32"/>
                <w:lang w:eastAsia="zh-CN"/>
              </w:rPr>
              <w:t>（</w:t>
            </w:r>
            <w:r>
              <w:rPr>
                <w:rFonts w:hint="eastAsia" w:ascii="仿宋_GB2312" w:hAnsi="仿宋_GB2312" w:eastAsia="仿宋_GB2312"/>
                <w:b/>
                <w:sz w:val="32"/>
                <w:szCs w:val="32"/>
                <w:lang w:val="en-US" w:eastAsia="zh-CN"/>
              </w:rPr>
              <w:t>Q1</w:t>
            </w:r>
            <w:r>
              <w:rPr>
                <w:rFonts w:hint="eastAsia" w:ascii="仿宋_GB2312" w:hAnsi="仿宋_GB2312" w:eastAsia="仿宋_GB2312"/>
                <w:b/>
                <w:sz w:val="32"/>
                <w:szCs w:val="32"/>
                <w:lang w:eastAsia="zh-CN"/>
              </w:rPr>
              <w:t>）</w:t>
            </w:r>
          </w:p>
        </w:tc>
        <w:tc>
          <w:tcPr>
            <w:tcW w:w="1701" w:type="dxa"/>
            <w:shd w:val="clear" w:color="auto" w:fill="F2F2F2"/>
            <w:vAlign w:val="center"/>
          </w:tcPr>
          <w:p w14:paraId="73A771FF">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sz w:val="32"/>
                <w:szCs w:val="32"/>
              </w:rPr>
              <w:t>健康舒适</w:t>
            </w:r>
            <w:r>
              <w:rPr>
                <w:rFonts w:hint="eastAsia" w:ascii="仿宋_GB2312" w:hAnsi="仿宋_GB2312" w:eastAsia="仿宋_GB2312"/>
                <w:b/>
                <w:sz w:val="32"/>
                <w:szCs w:val="32"/>
                <w:lang w:eastAsia="zh-CN"/>
              </w:rPr>
              <w:t>（</w:t>
            </w:r>
            <w:r>
              <w:rPr>
                <w:rFonts w:hint="eastAsia" w:ascii="仿宋_GB2312" w:hAnsi="仿宋_GB2312" w:eastAsia="仿宋_GB2312"/>
                <w:b/>
                <w:sz w:val="32"/>
                <w:szCs w:val="32"/>
                <w:lang w:val="en-US" w:eastAsia="zh-CN"/>
              </w:rPr>
              <w:t>Q2</w:t>
            </w:r>
            <w:r>
              <w:rPr>
                <w:rFonts w:hint="eastAsia" w:ascii="仿宋_GB2312" w:hAnsi="仿宋_GB2312" w:eastAsia="仿宋_GB2312"/>
                <w:b/>
                <w:sz w:val="32"/>
                <w:szCs w:val="32"/>
                <w:lang w:eastAsia="zh-CN"/>
              </w:rPr>
              <w:t>）</w:t>
            </w:r>
          </w:p>
        </w:tc>
        <w:tc>
          <w:tcPr>
            <w:tcW w:w="1701" w:type="dxa"/>
            <w:shd w:val="clear" w:color="auto" w:fill="F2F2F2"/>
            <w:vAlign w:val="center"/>
          </w:tcPr>
          <w:p w14:paraId="435684D8">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sz w:val="32"/>
                <w:szCs w:val="32"/>
              </w:rPr>
              <w:t>绿色低碳</w:t>
            </w:r>
            <w:r>
              <w:rPr>
                <w:rFonts w:hint="eastAsia" w:ascii="仿宋_GB2312" w:hAnsi="仿宋_GB2312" w:eastAsia="仿宋_GB2312"/>
                <w:b/>
                <w:sz w:val="32"/>
                <w:szCs w:val="32"/>
                <w:lang w:eastAsia="zh-CN"/>
              </w:rPr>
              <w:t>（</w:t>
            </w:r>
            <w:r>
              <w:rPr>
                <w:rFonts w:hint="eastAsia" w:ascii="仿宋_GB2312" w:hAnsi="仿宋_GB2312" w:eastAsia="仿宋_GB2312"/>
                <w:b/>
                <w:sz w:val="32"/>
                <w:szCs w:val="32"/>
                <w:lang w:val="en-US" w:eastAsia="zh-CN"/>
              </w:rPr>
              <w:t>Q3</w:t>
            </w:r>
            <w:r>
              <w:rPr>
                <w:rFonts w:hint="eastAsia" w:ascii="仿宋_GB2312" w:hAnsi="仿宋_GB2312" w:eastAsia="仿宋_GB2312"/>
                <w:b/>
                <w:sz w:val="32"/>
                <w:szCs w:val="32"/>
                <w:lang w:eastAsia="zh-CN"/>
              </w:rPr>
              <w:t>）</w:t>
            </w:r>
          </w:p>
        </w:tc>
        <w:tc>
          <w:tcPr>
            <w:tcW w:w="1701" w:type="dxa"/>
            <w:shd w:val="clear" w:color="auto" w:fill="F2F2F2"/>
            <w:vAlign w:val="center"/>
          </w:tcPr>
          <w:p w14:paraId="56854519">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sz w:val="32"/>
                <w:szCs w:val="32"/>
              </w:rPr>
              <w:t>智慧便利</w:t>
            </w:r>
            <w:r>
              <w:rPr>
                <w:rFonts w:hint="eastAsia" w:ascii="仿宋_GB2312" w:hAnsi="仿宋_GB2312" w:eastAsia="仿宋_GB2312"/>
                <w:b/>
                <w:sz w:val="32"/>
                <w:szCs w:val="32"/>
                <w:lang w:eastAsia="zh-CN"/>
              </w:rPr>
              <w:t>（</w:t>
            </w:r>
            <w:r>
              <w:rPr>
                <w:rFonts w:hint="eastAsia" w:ascii="仿宋_GB2312" w:hAnsi="仿宋_GB2312" w:eastAsia="仿宋_GB2312"/>
                <w:b/>
                <w:sz w:val="32"/>
                <w:szCs w:val="32"/>
                <w:lang w:val="en-US" w:eastAsia="zh-CN"/>
              </w:rPr>
              <w:t>Q4</w:t>
            </w:r>
            <w:r>
              <w:rPr>
                <w:rFonts w:hint="eastAsia" w:ascii="仿宋_GB2312" w:hAnsi="仿宋_GB2312" w:eastAsia="仿宋_GB2312"/>
                <w:b/>
                <w:sz w:val="32"/>
                <w:szCs w:val="32"/>
                <w:lang w:eastAsia="zh-CN"/>
              </w:rPr>
              <w:t>）</w:t>
            </w:r>
          </w:p>
        </w:tc>
        <w:tc>
          <w:tcPr>
            <w:tcW w:w="1701" w:type="dxa"/>
            <w:shd w:val="clear" w:color="auto" w:fill="F2F2F2"/>
            <w:vAlign w:val="center"/>
          </w:tcPr>
          <w:p w14:paraId="3AA9D237">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sz w:val="32"/>
                <w:szCs w:val="32"/>
              </w:rPr>
              <w:t>加分项</w:t>
            </w:r>
            <w:r>
              <w:rPr>
                <w:rFonts w:hint="eastAsia" w:ascii="仿宋_GB2312" w:hAnsi="仿宋_GB2312" w:eastAsia="仿宋_GB2312"/>
                <w:b/>
                <w:sz w:val="32"/>
                <w:szCs w:val="32"/>
                <w:lang w:eastAsia="zh-CN"/>
              </w:rPr>
              <w:t>（</w:t>
            </w:r>
            <w:r>
              <w:rPr>
                <w:rFonts w:hint="eastAsia" w:ascii="仿宋_GB2312" w:hAnsi="仿宋_GB2312" w:eastAsia="仿宋_GB2312"/>
                <w:b/>
                <w:sz w:val="32"/>
                <w:szCs w:val="32"/>
                <w:lang w:val="en-US" w:eastAsia="zh-CN"/>
              </w:rPr>
              <w:t>QA</w:t>
            </w:r>
            <w:r>
              <w:rPr>
                <w:rFonts w:hint="eastAsia" w:ascii="仿宋_GB2312" w:hAnsi="仿宋_GB2312" w:eastAsia="仿宋_GB2312"/>
                <w:b/>
                <w:sz w:val="32"/>
                <w:szCs w:val="32"/>
                <w:lang w:eastAsia="zh-CN"/>
              </w:rPr>
              <w:t>）</w:t>
            </w:r>
          </w:p>
        </w:tc>
      </w:tr>
      <w:tr w14:paraId="7D09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79547263">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设计评价</w:t>
            </w:r>
          </w:p>
        </w:tc>
        <w:tc>
          <w:tcPr>
            <w:tcW w:w="1701" w:type="dxa"/>
            <w:vAlign w:val="center"/>
          </w:tcPr>
          <w:p w14:paraId="42AAFD67">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70分</w:t>
            </w:r>
          </w:p>
        </w:tc>
        <w:tc>
          <w:tcPr>
            <w:tcW w:w="1701" w:type="dxa"/>
            <w:vAlign w:val="center"/>
          </w:tcPr>
          <w:p w14:paraId="42CBF6F0">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190分</w:t>
            </w:r>
          </w:p>
        </w:tc>
        <w:tc>
          <w:tcPr>
            <w:tcW w:w="1701" w:type="dxa"/>
            <w:vAlign w:val="center"/>
          </w:tcPr>
          <w:p w14:paraId="0BDDC155">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50分</w:t>
            </w:r>
          </w:p>
        </w:tc>
        <w:tc>
          <w:tcPr>
            <w:tcW w:w="1701" w:type="dxa"/>
            <w:vAlign w:val="center"/>
          </w:tcPr>
          <w:p w14:paraId="57B605D2">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90分</w:t>
            </w:r>
          </w:p>
        </w:tc>
        <w:tc>
          <w:tcPr>
            <w:tcW w:w="1701" w:type="dxa"/>
            <w:vAlign w:val="center"/>
          </w:tcPr>
          <w:p w14:paraId="6F119B5C">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5分</w:t>
            </w:r>
          </w:p>
        </w:tc>
      </w:tr>
      <w:tr w14:paraId="5191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6AAB079B">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运行评价</w:t>
            </w:r>
          </w:p>
        </w:tc>
        <w:tc>
          <w:tcPr>
            <w:tcW w:w="1701" w:type="dxa"/>
            <w:vAlign w:val="center"/>
          </w:tcPr>
          <w:p w14:paraId="2C7D69FE">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85分</w:t>
            </w:r>
          </w:p>
        </w:tc>
        <w:tc>
          <w:tcPr>
            <w:tcW w:w="1701" w:type="dxa"/>
            <w:vAlign w:val="center"/>
          </w:tcPr>
          <w:p w14:paraId="70D8ECD2">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200分</w:t>
            </w:r>
          </w:p>
        </w:tc>
        <w:tc>
          <w:tcPr>
            <w:tcW w:w="1701" w:type="dxa"/>
            <w:vAlign w:val="center"/>
          </w:tcPr>
          <w:p w14:paraId="5FB4C126">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95分</w:t>
            </w:r>
          </w:p>
        </w:tc>
        <w:tc>
          <w:tcPr>
            <w:tcW w:w="1701" w:type="dxa"/>
            <w:vAlign w:val="center"/>
          </w:tcPr>
          <w:p w14:paraId="410C990E">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120分</w:t>
            </w:r>
          </w:p>
        </w:tc>
        <w:tc>
          <w:tcPr>
            <w:tcW w:w="1701" w:type="dxa"/>
            <w:vAlign w:val="center"/>
          </w:tcPr>
          <w:p w14:paraId="09D7E32E">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10分</w:t>
            </w:r>
          </w:p>
        </w:tc>
      </w:tr>
    </w:tbl>
    <w:p w14:paraId="431B8BEC">
      <w:pPr>
        <w:keepNext w:val="0"/>
        <w:keepLines w:val="0"/>
        <w:pageBreakBefore w:val="0"/>
        <w:widowControl/>
        <w:kinsoku/>
        <w:wordWrap/>
        <w:overflowPunct/>
        <w:topLinePunct w:val="0"/>
        <w:autoSpaceDE/>
        <w:autoSpaceDN/>
        <w:bidi w:val="0"/>
        <w:adjustRightInd/>
        <w:snapToGrid/>
        <w:spacing w:line="440" w:lineRule="exact"/>
        <w:textAlignment w:val="auto"/>
        <w:rPr>
          <w:sz w:val="32"/>
          <w:szCs w:val="32"/>
        </w:rPr>
      </w:pPr>
    </w:p>
    <w:p w14:paraId="10C7B34A">
      <w:pPr>
        <w:keepNext w:val="0"/>
        <w:keepLines w:val="0"/>
        <w:pageBreakBefore w:val="0"/>
        <w:widowControl/>
        <w:kinsoku/>
        <w:wordWrap/>
        <w:overflowPunct/>
        <w:topLinePunct w:val="0"/>
        <w:autoSpaceDE/>
        <w:autoSpaceDN/>
        <w:bidi w:val="0"/>
        <w:adjustRightInd/>
        <w:snapToGrid/>
        <w:spacing w:before="120" w:after="60" w:line="440" w:lineRule="exact"/>
        <w:ind w:firstLine="640" w:firstLineChars="200"/>
        <w:textAlignment w:val="auto"/>
        <w:rPr>
          <w:rFonts w:ascii="黑体" w:hAnsi="黑体" w:eastAsia="黑体"/>
          <w:b w:val="0"/>
          <w:bCs/>
          <w:sz w:val="32"/>
          <w:szCs w:val="32"/>
        </w:rPr>
      </w:pPr>
      <w:r>
        <w:rPr>
          <w:rFonts w:ascii="黑体" w:hAnsi="黑体" w:eastAsia="黑体"/>
          <w:b w:val="0"/>
          <w:bCs/>
          <w:sz w:val="32"/>
          <w:szCs w:val="32"/>
        </w:rPr>
        <w:t>四、总分计算</w:t>
      </w:r>
    </w:p>
    <w:p w14:paraId="1BBBACF7">
      <w:pPr>
        <w:keepNext w:val="0"/>
        <w:keepLines w:val="0"/>
        <w:pageBreakBefore w:val="0"/>
        <w:widowControl/>
        <w:kinsoku/>
        <w:wordWrap/>
        <w:overflowPunct/>
        <w:topLinePunct w:val="0"/>
        <w:autoSpaceDE/>
        <w:autoSpaceDN/>
        <w:bidi w:val="0"/>
        <w:adjustRightInd/>
        <w:snapToGrid/>
        <w:spacing w:after="40" w:line="440" w:lineRule="exact"/>
        <w:ind w:firstLine="640" w:firstLineChars="200"/>
        <w:textAlignment w:val="auto"/>
        <w:rPr>
          <w:sz w:val="32"/>
          <w:szCs w:val="32"/>
        </w:rPr>
      </w:pPr>
      <w:r>
        <w:rPr>
          <w:rFonts w:ascii="仿宋_GB2312" w:hAnsi="仿宋_GB2312" w:eastAsia="仿宋_GB2312"/>
          <w:b w:val="0"/>
          <w:sz w:val="32"/>
          <w:szCs w:val="32"/>
        </w:rPr>
        <w:t>设计评价：Q</w:t>
      </w:r>
      <w:r>
        <w:rPr>
          <w:rFonts w:hint="eastAsia" w:ascii="仿宋_GB2312" w:hAnsi="仿宋_GB2312" w:eastAsia="仿宋_GB2312"/>
          <w:b w:val="0"/>
          <w:sz w:val="32"/>
          <w:szCs w:val="32"/>
          <w:lang w:val="en-US" w:eastAsia="zh-CN"/>
        </w:rPr>
        <w:t>=</w:t>
      </w:r>
      <w:r>
        <w:rPr>
          <w:rFonts w:ascii="仿宋_GB2312" w:hAnsi="仿宋_GB2312" w:eastAsia="仿宋_GB2312"/>
          <w:b w:val="0"/>
          <w:sz w:val="32"/>
          <w:szCs w:val="32"/>
        </w:rPr>
        <w:t>（</w:t>
      </w:r>
      <w:r>
        <w:rPr>
          <w:rFonts w:hint="eastAsia" w:ascii="仿宋_GB2312" w:hAnsi="仿宋_GB2312" w:eastAsia="仿宋_GB2312"/>
          <w:b w:val="0"/>
          <w:sz w:val="32"/>
          <w:szCs w:val="32"/>
          <w:lang w:val="en-US" w:eastAsia="zh-CN"/>
        </w:rPr>
        <w:t>600+</w:t>
      </w:r>
      <w:r>
        <w:rPr>
          <w:rFonts w:ascii="仿宋_GB2312" w:hAnsi="仿宋_GB2312" w:eastAsia="仿宋_GB2312"/>
          <w:b w:val="0"/>
          <w:sz w:val="32"/>
          <w:szCs w:val="32"/>
        </w:rPr>
        <w:t>Q1</w:t>
      </w:r>
      <w:r>
        <w:rPr>
          <w:rFonts w:hint="eastAsia" w:ascii="仿宋_GB2312" w:hAnsi="仿宋_GB2312" w:eastAsia="仿宋_GB2312"/>
          <w:b w:val="0"/>
          <w:sz w:val="32"/>
          <w:szCs w:val="32"/>
          <w:lang w:val="en-US" w:eastAsia="zh-CN"/>
        </w:rPr>
        <w:t>+</w:t>
      </w:r>
      <w:r>
        <w:rPr>
          <w:rFonts w:ascii="仿宋_GB2312" w:hAnsi="仿宋_GB2312" w:eastAsia="仿宋_GB2312"/>
          <w:b w:val="0"/>
          <w:sz w:val="32"/>
          <w:szCs w:val="32"/>
        </w:rPr>
        <w:t>Q2</w:t>
      </w:r>
      <w:r>
        <w:rPr>
          <w:rFonts w:hint="eastAsia" w:ascii="仿宋_GB2312" w:hAnsi="仿宋_GB2312" w:eastAsia="仿宋_GB2312"/>
          <w:b w:val="0"/>
          <w:sz w:val="32"/>
          <w:szCs w:val="32"/>
          <w:lang w:val="en-US" w:eastAsia="zh-CN"/>
        </w:rPr>
        <w:t>+</w:t>
      </w:r>
      <w:r>
        <w:rPr>
          <w:rFonts w:ascii="仿宋_GB2312" w:hAnsi="仿宋_GB2312" w:eastAsia="仿宋_GB2312"/>
          <w:b w:val="0"/>
          <w:sz w:val="32"/>
          <w:szCs w:val="32"/>
        </w:rPr>
        <w:t>Q3</w:t>
      </w:r>
      <w:r>
        <w:rPr>
          <w:rFonts w:hint="eastAsia" w:ascii="仿宋_GB2312" w:hAnsi="仿宋_GB2312" w:eastAsia="仿宋_GB2312"/>
          <w:b w:val="0"/>
          <w:sz w:val="32"/>
          <w:szCs w:val="32"/>
          <w:lang w:val="en-US" w:eastAsia="zh-CN"/>
        </w:rPr>
        <w:t>+</w:t>
      </w:r>
      <w:r>
        <w:rPr>
          <w:rFonts w:ascii="仿宋_GB2312" w:hAnsi="仿宋_GB2312" w:eastAsia="仿宋_GB2312"/>
          <w:b w:val="0"/>
          <w:sz w:val="32"/>
          <w:szCs w:val="32"/>
        </w:rPr>
        <w:t>Q4）</w:t>
      </w:r>
      <w:r>
        <w:rPr>
          <w:rFonts w:hint="eastAsia" w:ascii="仿宋_GB2312" w:hAnsi="仿宋_GB2312" w:eastAsia="仿宋_GB2312"/>
          <w:b w:val="0"/>
          <w:sz w:val="32"/>
          <w:szCs w:val="32"/>
          <w:lang w:val="en-US" w:eastAsia="zh-CN"/>
        </w:rPr>
        <w:t>/</w:t>
      </w:r>
      <w:r>
        <w:rPr>
          <w:rFonts w:ascii="仿宋_GB2312" w:hAnsi="仿宋_GB2312" w:eastAsia="仿宋_GB2312"/>
          <w:b w:val="0"/>
          <w:sz w:val="32"/>
          <w:szCs w:val="32"/>
        </w:rPr>
        <w:t>10</w:t>
      </w:r>
      <w:r>
        <w:rPr>
          <w:rFonts w:hint="eastAsia" w:ascii="仿宋_GB2312" w:hAnsi="仿宋_GB2312" w:eastAsia="仿宋_GB2312"/>
          <w:b w:val="0"/>
          <w:sz w:val="32"/>
          <w:szCs w:val="32"/>
          <w:lang w:val="en-US" w:eastAsia="zh-CN"/>
        </w:rPr>
        <w:t>+</w:t>
      </w:r>
      <w:r>
        <w:rPr>
          <w:rFonts w:ascii="仿宋_GB2312" w:hAnsi="仿宋_GB2312" w:eastAsia="仿宋_GB2312"/>
          <w:b w:val="0"/>
          <w:sz w:val="32"/>
          <w:szCs w:val="32"/>
        </w:rPr>
        <w:t>QA</w:t>
      </w:r>
    </w:p>
    <w:p w14:paraId="7F309F22">
      <w:pPr>
        <w:keepNext w:val="0"/>
        <w:keepLines w:val="0"/>
        <w:pageBreakBefore w:val="0"/>
        <w:widowControl/>
        <w:kinsoku/>
        <w:wordWrap/>
        <w:overflowPunct/>
        <w:topLinePunct w:val="0"/>
        <w:autoSpaceDE/>
        <w:autoSpaceDN/>
        <w:bidi w:val="0"/>
        <w:adjustRightInd/>
        <w:snapToGrid/>
        <w:spacing w:after="40" w:line="440" w:lineRule="exact"/>
        <w:ind w:firstLine="640" w:firstLineChars="200"/>
        <w:textAlignment w:val="auto"/>
        <w:rPr>
          <w:sz w:val="32"/>
          <w:szCs w:val="32"/>
        </w:rPr>
      </w:pPr>
      <w:r>
        <w:rPr>
          <w:rFonts w:ascii="仿宋_GB2312" w:hAnsi="仿宋_GB2312" w:eastAsia="仿宋_GB2312"/>
          <w:b w:val="0"/>
          <w:sz w:val="32"/>
          <w:szCs w:val="32"/>
        </w:rPr>
        <w:t>运行评价：Q</w:t>
      </w:r>
      <w:r>
        <w:rPr>
          <w:rFonts w:hint="eastAsia" w:ascii="仿宋_GB2312" w:hAnsi="仿宋_GB2312" w:eastAsia="仿宋_GB2312"/>
          <w:b w:val="0"/>
          <w:sz w:val="32"/>
          <w:szCs w:val="32"/>
          <w:lang w:val="en-US" w:eastAsia="zh-CN"/>
        </w:rPr>
        <w:t>=</w:t>
      </w:r>
      <w:r>
        <w:rPr>
          <w:rFonts w:ascii="仿宋_GB2312" w:hAnsi="仿宋_GB2312" w:eastAsia="仿宋_GB2312"/>
          <w:b w:val="0"/>
          <w:sz w:val="32"/>
          <w:szCs w:val="32"/>
        </w:rPr>
        <w:t>（</w:t>
      </w:r>
      <w:r>
        <w:rPr>
          <w:rFonts w:hint="eastAsia" w:ascii="仿宋_GB2312" w:hAnsi="仿宋_GB2312" w:eastAsia="仿宋_GB2312"/>
          <w:b w:val="0"/>
          <w:sz w:val="32"/>
          <w:szCs w:val="32"/>
          <w:lang w:val="en-US" w:eastAsia="zh-CN"/>
        </w:rPr>
        <w:t>600+</w:t>
      </w:r>
      <w:r>
        <w:rPr>
          <w:rFonts w:ascii="仿宋_GB2312" w:hAnsi="仿宋_GB2312" w:eastAsia="仿宋_GB2312"/>
          <w:b w:val="0"/>
          <w:sz w:val="32"/>
          <w:szCs w:val="32"/>
        </w:rPr>
        <w:t>Q1</w:t>
      </w:r>
      <w:r>
        <w:rPr>
          <w:rFonts w:hint="eastAsia" w:ascii="仿宋_GB2312" w:hAnsi="仿宋_GB2312" w:eastAsia="仿宋_GB2312"/>
          <w:b w:val="0"/>
          <w:sz w:val="32"/>
          <w:szCs w:val="32"/>
          <w:lang w:val="en-US" w:eastAsia="zh-CN"/>
        </w:rPr>
        <w:t>+</w:t>
      </w:r>
      <w:r>
        <w:rPr>
          <w:rFonts w:ascii="仿宋_GB2312" w:hAnsi="仿宋_GB2312" w:eastAsia="仿宋_GB2312"/>
          <w:b w:val="0"/>
          <w:sz w:val="32"/>
          <w:szCs w:val="32"/>
        </w:rPr>
        <w:t>Q2</w:t>
      </w:r>
      <w:r>
        <w:rPr>
          <w:rFonts w:hint="eastAsia" w:ascii="仿宋_GB2312" w:hAnsi="仿宋_GB2312" w:eastAsia="仿宋_GB2312"/>
          <w:b w:val="0"/>
          <w:sz w:val="32"/>
          <w:szCs w:val="32"/>
          <w:lang w:val="en-US" w:eastAsia="zh-CN"/>
        </w:rPr>
        <w:t>+</w:t>
      </w:r>
      <w:r>
        <w:rPr>
          <w:rFonts w:ascii="仿宋_GB2312" w:hAnsi="仿宋_GB2312" w:eastAsia="仿宋_GB2312"/>
          <w:b w:val="0"/>
          <w:sz w:val="32"/>
          <w:szCs w:val="32"/>
        </w:rPr>
        <w:t>Q3</w:t>
      </w:r>
      <w:r>
        <w:rPr>
          <w:rFonts w:hint="eastAsia" w:ascii="仿宋_GB2312" w:hAnsi="仿宋_GB2312" w:eastAsia="仿宋_GB2312"/>
          <w:b w:val="0"/>
          <w:sz w:val="32"/>
          <w:szCs w:val="32"/>
          <w:lang w:val="en-US" w:eastAsia="zh-CN"/>
        </w:rPr>
        <w:t>+</w:t>
      </w:r>
      <w:r>
        <w:rPr>
          <w:rFonts w:ascii="仿宋_GB2312" w:hAnsi="仿宋_GB2312" w:eastAsia="仿宋_GB2312"/>
          <w:b w:val="0"/>
          <w:sz w:val="32"/>
          <w:szCs w:val="32"/>
        </w:rPr>
        <w:t>Q4）</w:t>
      </w:r>
      <w:r>
        <w:rPr>
          <w:rFonts w:hint="eastAsia" w:ascii="仿宋_GB2312" w:hAnsi="仿宋_GB2312" w:eastAsia="仿宋_GB2312"/>
          <w:b w:val="0"/>
          <w:sz w:val="32"/>
          <w:szCs w:val="32"/>
          <w:lang w:val="en-US" w:eastAsia="zh-CN"/>
        </w:rPr>
        <w:t>/</w:t>
      </w:r>
      <w:r>
        <w:rPr>
          <w:rFonts w:ascii="仿宋_GB2312" w:hAnsi="仿宋_GB2312" w:eastAsia="仿宋_GB2312"/>
          <w:b w:val="0"/>
          <w:sz w:val="32"/>
          <w:szCs w:val="32"/>
        </w:rPr>
        <w:t>11</w:t>
      </w:r>
      <w:r>
        <w:rPr>
          <w:rFonts w:hint="eastAsia" w:ascii="仿宋_GB2312" w:hAnsi="仿宋_GB2312" w:eastAsia="仿宋_GB2312"/>
          <w:b w:val="0"/>
          <w:sz w:val="32"/>
          <w:szCs w:val="32"/>
          <w:lang w:val="en-US" w:eastAsia="zh-CN"/>
        </w:rPr>
        <w:t>+</w:t>
      </w:r>
      <w:r>
        <w:rPr>
          <w:rFonts w:ascii="仿宋_GB2312" w:hAnsi="仿宋_GB2312" w:eastAsia="仿宋_GB2312"/>
          <w:b w:val="0"/>
          <w:sz w:val="32"/>
          <w:szCs w:val="32"/>
        </w:rPr>
        <w:t>QA</w:t>
      </w:r>
    </w:p>
    <w:p w14:paraId="079D06DD">
      <w:pPr>
        <w:keepNext w:val="0"/>
        <w:keepLines w:val="0"/>
        <w:pageBreakBefore w:val="0"/>
        <w:widowControl/>
        <w:kinsoku/>
        <w:wordWrap/>
        <w:overflowPunct/>
        <w:topLinePunct w:val="0"/>
        <w:autoSpaceDE/>
        <w:autoSpaceDN/>
        <w:bidi w:val="0"/>
        <w:adjustRightInd/>
        <w:snapToGrid/>
        <w:spacing w:after="40" w:line="440" w:lineRule="exact"/>
        <w:ind w:firstLine="640" w:firstLineChars="200"/>
        <w:textAlignment w:val="auto"/>
        <w:rPr>
          <w:sz w:val="32"/>
          <w:szCs w:val="32"/>
        </w:rPr>
      </w:pPr>
      <w:r>
        <w:rPr>
          <w:rFonts w:ascii="仿宋_GB2312" w:hAnsi="仿宋_GB2312" w:eastAsia="仿宋_GB2312"/>
          <w:b w:val="0"/>
          <w:sz w:val="32"/>
          <w:szCs w:val="32"/>
        </w:rPr>
        <w:t>式中：Q</w:t>
      </w:r>
      <w:r>
        <w:rPr>
          <w:rFonts w:hint="eastAsia" w:ascii="仿宋_GB2312" w:hAnsi="仿宋_GB2312" w:eastAsia="仿宋_GB2312"/>
          <w:b w:val="0"/>
          <w:sz w:val="32"/>
          <w:szCs w:val="32"/>
          <w:lang w:val="en-US" w:eastAsia="zh-CN"/>
        </w:rPr>
        <w:t>为</w:t>
      </w:r>
      <w:r>
        <w:rPr>
          <w:rFonts w:ascii="仿宋_GB2312" w:hAnsi="仿宋_GB2312" w:eastAsia="仿宋_GB2312"/>
          <w:b w:val="0"/>
          <w:sz w:val="32"/>
          <w:szCs w:val="32"/>
        </w:rPr>
        <w:t>总得分；Q1～Q4分别为安全耐久、健康舒适、绿色低碳、智慧便利4类指标评分项得分；QA</w:t>
      </w:r>
      <w:r>
        <w:rPr>
          <w:rFonts w:hint="eastAsia" w:ascii="仿宋_GB2312" w:hAnsi="仿宋_GB2312" w:eastAsia="仿宋_GB2312"/>
          <w:b w:val="0"/>
          <w:sz w:val="32"/>
          <w:szCs w:val="32"/>
          <w:lang w:val="en-US" w:eastAsia="zh-CN"/>
        </w:rPr>
        <w:t>为</w:t>
      </w:r>
      <w:r>
        <w:rPr>
          <w:rFonts w:ascii="仿宋_GB2312" w:hAnsi="仿宋_GB2312" w:eastAsia="仿宋_GB2312"/>
          <w:b w:val="0"/>
          <w:sz w:val="32"/>
          <w:szCs w:val="32"/>
        </w:rPr>
        <w:t>加分项得分之和。</w:t>
      </w:r>
    </w:p>
    <w:p w14:paraId="4D614317">
      <w:pPr>
        <w:keepNext w:val="0"/>
        <w:keepLines w:val="0"/>
        <w:pageBreakBefore w:val="0"/>
        <w:widowControl/>
        <w:kinsoku/>
        <w:wordWrap/>
        <w:overflowPunct/>
        <w:topLinePunct w:val="0"/>
        <w:autoSpaceDE/>
        <w:autoSpaceDN/>
        <w:bidi w:val="0"/>
        <w:adjustRightInd/>
        <w:snapToGrid/>
        <w:spacing w:before="120" w:after="60" w:line="440" w:lineRule="exact"/>
        <w:ind w:firstLine="640" w:firstLineChars="200"/>
        <w:textAlignment w:val="auto"/>
        <w:rPr>
          <w:rFonts w:ascii="黑体" w:hAnsi="黑体" w:eastAsia="黑体"/>
          <w:b w:val="0"/>
          <w:bCs/>
          <w:sz w:val="32"/>
          <w:szCs w:val="32"/>
        </w:rPr>
      </w:pPr>
      <w:r>
        <w:rPr>
          <w:rFonts w:ascii="黑体" w:hAnsi="黑体" w:eastAsia="黑体"/>
          <w:b w:val="0"/>
          <w:bCs/>
          <w:sz w:val="32"/>
          <w:szCs w:val="32"/>
        </w:rPr>
        <w:t>五、等级划分</w:t>
      </w:r>
    </w:p>
    <w:p w14:paraId="4046D0A4">
      <w:pPr>
        <w:keepNext w:val="0"/>
        <w:keepLines w:val="0"/>
        <w:pageBreakBefore w:val="0"/>
        <w:widowControl/>
        <w:kinsoku/>
        <w:wordWrap/>
        <w:overflowPunct/>
        <w:topLinePunct w:val="0"/>
        <w:autoSpaceDE/>
        <w:autoSpaceDN/>
        <w:bidi w:val="0"/>
        <w:adjustRightInd/>
        <w:snapToGrid/>
        <w:spacing w:after="40" w:line="440" w:lineRule="exact"/>
        <w:ind w:firstLine="640" w:firstLineChars="200"/>
        <w:textAlignment w:val="auto"/>
        <w:rPr>
          <w:rFonts w:ascii="仿宋_GB2312" w:hAnsi="仿宋_GB2312" w:eastAsia="仿宋_GB2312"/>
          <w:b w:val="0"/>
          <w:sz w:val="32"/>
          <w:szCs w:val="32"/>
        </w:rPr>
      </w:pPr>
      <w:r>
        <w:rPr>
          <w:rFonts w:ascii="仿宋_GB2312" w:hAnsi="仿宋_GB2312" w:eastAsia="仿宋_GB2312"/>
          <w:b w:val="0"/>
          <w:sz w:val="32"/>
          <w:szCs w:val="32"/>
        </w:rPr>
        <w:t>依据总得分划分为基本级、一星级、二星级、三星级：</w:t>
      </w:r>
    </w:p>
    <w:p w14:paraId="0B6FDAC3">
      <w:pPr>
        <w:keepNext w:val="0"/>
        <w:keepLines w:val="0"/>
        <w:pageBreakBefore w:val="0"/>
        <w:widowControl/>
        <w:kinsoku/>
        <w:wordWrap/>
        <w:overflowPunct/>
        <w:topLinePunct w:val="0"/>
        <w:autoSpaceDE/>
        <w:autoSpaceDN/>
        <w:bidi w:val="0"/>
        <w:adjustRightInd/>
        <w:snapToGrid/>
        <w:spacing w:after="40" w:line="440" w:lineRule="exact"/>
        <w:ind w:firstLine="640" w:firstLineChars="200"/>
        <w:textAlignment w:val="auto"/>
        <w:rPr>
          <w:rFonts w:ascii="仿宋_GB2312" w:hAnsi="仿宋_GB2312" w:eastAsia="仿宋_GB2312"/>
          <w:b w:val="0"/>
          <w:sz w:val="32"/>
          <w:szCs w:val="32"/>
        </w:rPr>
      </w:pP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2835"/>
      </w:tblGrid>
      <w:tr w14:paraId="04494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35" w:type="dxa"/>
            <w:shd w:val="clear" w:color="auto" w:fill="F2F2F2"/>
            <w:vAlign w:val="center"/>
          </w:tcPr>
          <w:p w14:paraId="6220E962">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sz w:val="32"/>
                <w:szCs w:val="32"/>
              </w:rPr>
              <w:t>评价等级</w:t>
            </w:r>
          </w:p>
        </w:tc>
        <w:tc>
          <w:tcPr>
            <w:tcW w:w="2835" w:type="dxa"/>
            <w:shd w:val="clear" w:color="auto" w:fill="F2F2F2"/>
            <w:vAlign w:val="center"/>
          </w:tcPr>
          <w:p w14:paraId="5F146049">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sz w:val="32"/>
                <w:szCs w:val="32"/>
              </w:rPr>
              <w:t>得分要求</w:t>
            </w:r>
          </w:p>
        </w:tc>
      </w:tr>
      <w:tr w14:paraId="0E719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vAlign w:val="center"/>
          </w:tcPr>
          <w:p w14:paraId="47415675">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基本级</w:t>
            </w:r>
          </w:p>
        </w:tc>
        <w:tc>
          <w:tcPr>
            <w:tcW w:w="2835" w:type="dxa"/>
            <w:vAlign w:val="center"/>
          </w:tcPr>
          <w:p w14:paraId="5BA89743">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60</w:t>
            </w:r>
            <w:r>
              <w:rPr>
                <w:rFonts w:hint="eastAsia" w:ascii="仿宋_GB2312" w:hAnsi="仿宋_GB2312" w:eastAsia="仿宋_GB2312"/>
                <w:b w:val="0"/>
                <w:sz w:val="32"/>
                <w:szCs w:val="32"/>
                <w:lang w:val="en-US" w:eastAsia="zh-CN"/>
              </w:rPr>
              <w:t>-</w:t>
            </w:r>
            <w:r>
              <w:rPr>
                <w:rFonts w:ascii="仿宋_GB2312" w:hAnsi="仿宋_GB2312" w:eastAsia="仿宋_GB2312"/>
                <w:b w:val="0"/>
                <w:sz w:val="32"/>
                <w:szCs w:val="32"/>
              </w:rPr>
              <w:t>69分</w:t>
            </w:r>
          </w:p>
        </w:tc>
      </w:tr>
      <w:tr w14:paraId="184C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vAlign w:val="center"/>
          </w:tcPr>
          <w:p w14:paraId="456797F2">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一星级</w:t>
            </w:r>
          </w:p>
        </w:tc>
        <w:tc>
          <w:tcPr>
            <w:tcW w:w="2835" w:type="dxa"/>
            <w:vAlign w:val="center"/>
          </w:tcPr>
          <w:p w14:paraId="6C87C3BB">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70</w:t>
            </w:r>
            <w:r>
              <w:rPr>
                <w:rFonts w:hint="eastAsia" w:ascii="仿宋_GB2312" w:hAnsi="仿宋_GB2312" w:eastAsia="仿宋_GB2312"/>
                <w:b w:val="0"/>
                <w:sz w:val="32"/>
                <w:szCs w:val="32"/>
                <w:lang w:val="en-US" w:eastAsia="zh-CN"/>
              </w:rPr>
              <w:t>-</w:t>
            </w:r>
            <w:r>
              <w:rPr>
                <w:rFonts w:ascii="仿宋_GB2312" w:hAnsi="仿宋_GB2312" w:eastAsia="仿宋_GB2312"/>
                <w:b w:val="0"/>
                <w:sz w:val="32"/>
                <w:szCs w:val="32"/>
              </w:rPr>
              <w:t>79分</w:t>
            </w:r>
          </w:p>
        </w:tc>
      </w:tr>
      <w:tr w14:paraId="2C0A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vAlign w:val="center"/>
          </w:tcPr>
          <w:p w14:paraId="46C2A0F4">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二星级</w:t>
            </w:r>
          </w:p>
        </w:tc>
        <w:tc>
          <w:tcPr>
            <w:tcW w:w="2835" w:type="dxa"/>
            <w:vAlign w:val="center"/>
          </w:tcPr>
          <w:p w14:paraId="7C5C85F5">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80</w:t>
            </w:r>
            <w:r>
              <w:rPr>
                <w:rFonts w:hint="eastAsia" w:ascii="仿宋_GB2312" w:hAnsi="仿宋_GB2312" w:eastAsia="仿宋_GB2312"/>
                <w:b w:val="0"/>
                <w:sz w:val="32"/>
                <w:szCs w:val="32"/>
                <w:lang w:val="en-US" w:eastAsia="zh-CN"/>
              </w:rPr>
              <w:t>-</w:t>
            </w:r>
            <w:r>
              <w:rPr>
                <w:rFonts w:ascii="仿宋_GB2312" w:hAnsi="仿宋_GB2312" w:eastAsia="仿宋_GB2312"/>
                <w:b w:val="0"/>
                <w:sz w:val="32"/>
                <w:szCs w:val="32"/>
              </w:rPr>
              <w:t>89分</w:t>
            </w:r>
          </w:p>
        </w:tc>
      </w:tr>
      <w:tr w14:paraId="1C68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vAlign w:val="center"/>
          </w:tcPr>
          <w:p w14:paraId="5A572846">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三星级</w:t>
            </w:r>
          </w:p>
        </w:tc>
        <w:tc>
          <w:tcPr>
            <w:tcW w:w="2835" w:type="dxa"/>
            <w:vAlign w:val="center"/>
          </w:tcPr>
          <w:p w14:paraId="0FB06337">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sz w:val="32"/>
                <w:szCs w:val="32"/>
              </w:rPr>
            </w:pPr>
            <w:r>
              <w:rPr>
                <w:rFonts w:ascii="仿宋_GB2312" w:hAnsi="仿宋_GB2312" w:eastAsia="仿宋_GB2312"/>
                <w:b w:val="0"/>
                <w:sz w:val="32"/>
                <w:szCs w:val="32"/>
              </w:rPr>
              <w:t>≥90分</w:t>
            </w:r>
          </w:p>
        </w:tc>
      </w:tr>
    </w:tbl>
    <w:p w14:paraId="7A82EF82">
      <w:pPr>
        <w:keepNext w:val="0"/>
        <w:keepLines w:val="0"/>
        <w:pageBreakBefore w:val="0"/>
        <w:widowControl/>
        <w:kinsoku/>
        <w:wordWrap/>
        <w:overflowPunct/>
        <w:topLinePunct w:val="0"/>
        <w:autoSpaceDE/>
        <w:autoSpaceDN/>
        <w:bidi w:val="0"/>
        <w:adjustRightInd/>
        <w:snapToGrid/>
        <w:spacing w:after="40" w:line="440" w:lineRule="exact"/>
        <w:ind w:firstLine="640" w:firstLineChars="200"/>
        <w:textAlignment w:val="auto"/>
        <w:rPr>
          <w:rFonts w:ascii="仿宋_GB2312" w:hAnsi="仿宋_GB2312" w:eastAsia="仿宋_GB2312"/>
          <w:b w:val="0"/>
          <w:sz w:val="32"/>
          <w:szCs w:val="32"/>
        </w:rPr>
      </w:pPr>
    </w:p>
    <w:p w14:paraId="327CD707">
      <w:pPr>
        <w:keepNext w:val="0"/>
        <w:keepLines w:val="0"/>
        <w:pageBreakBefore w:val="0"/>
        <w:widowControl/>
        <w:kinsoku/>
        <w:wordWrap/>
        <w:overflowPunct/>
        <w:topLinePunct w:val="0"/>
        <w:autoSpaceDE/>
        <w:autoSpaceDN/>
        <w:bidi w:val="0"/>
        <w:adjustRightInd/>
        <w:snapToGrid/>
        <w:spacing w:after="40" w:line="440" w:lineRule="exact"/>
        <w:ind w:firstLine="640" w:firstLineChars="200"/>
        <w:textAlignment w:val="auto"/>
        <w:rPr>
          <w:sz w:val="32"/>
          <w:szCs w:val="32"/>
        </w:rPr>
      </w:pPr>
      <w:r>
        <w:rPr>
          <w:rFonts w:ascii="仿宋_GB2312" w:hAnsi="仿宋_GB2312" w:eastAsia="仿宋_GB2312"/>
          <w:b w:val="0"/>
          <w:sz w:val="32"/>
          <w:szCs w:val="32"/>
        </w:rPr>
        <w:t>评定一星级及以上等级的项目，安全耐久、健康舒适、绿色低碳、智慧便利4类指标评分项得分均不得少于本类评分项满分分值的10%。</w:t>
      </w:r>
    </w:p>
    <w:sectPr>
      <w:footerReference r:id="rId5" w:type="default"/>
      <w:pgSz w:w="16838" w:h="11906" w:orient="landscape"/>
      <w:pgMar w:top="1134" w:right="1134" w:bottom="1134"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6F795">
    <w:pPr>
      <w:pStyle w:val="24"/>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442479">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442479">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B710C82"/>
    <w:rsid w:val="11496C09"/>
    <w:rsid w:val="15A22DF0"/>
    <w:rsid w:val="1B4010D2"/>
    <w:rsid w:val="1D0633B6"/>
    <w:rsid w:val="31060B54"/>
    <w:rsid w:val="4B924E33"/>
    <w:rsid w:val="4E395229"/>
    <w:rsid w:val="4E5431BB"/>
    <w:rsid w:val="5E5461ED"/>
    <w:rsid w:val="5E773771"/>
    <w:rsid w:val="69434BAB"/>
    <w:rsid w:val="6E0E5702"/>
    <w:rsid w:val="73C055C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unhideWhenUsed="0" w:uiPriority="61" w:semiHidden="0" w:name="Light List Accent 6"/>
    <w:lsdException w:qFormat="1" w:unhideWhenUsed="0" w:uiPriority="62" w:semiHidden="0" w:name="Light Grid Accent 6"/>
    <w:lsdException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4"/>
      <w:szCs w:val="24"/>
      <w:lang w:val="en-US" w:eastAsia="zh-CN" w:bidi="ar"/>
    </w:r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5"/>
    <w:qFormat/>
    <w:uiPriority w:val="99"/>
  </w:style>
  <w:style w:type="character" w:customStyle="1" w:styleId="137">
    <w:name w:val="Footer Char"/>
    <w:basedOn w:val="133"/>
    <w:link w:val="24"/>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19"/>
    <w:qFormat/>
    <w:uiPriority w:val="99"/>
  </w:style>
  <w:style w:type="character" w:customStyle="1" w:styleId="146">
    <w:name w:val="Body Text 2 Char"/>
    <w:basedOn w:val="133"/>
    <w:link w:val="28"/>
    <w:qFormat/>
    <w:uiPriority w:val="99"/>
  </w:style>
  <w:style w:type="character" w:customStyle="1" w:styleId="147">
    <w:name w:val="Body Text 3 Char"/>
    <w:basedOn w:val="133"/>
    <w:link w:val="17"/>
    <w:qFormat/>
    <w:uiPriority w:val="99"/>
    <w:rPr>
      <w:sz w:val="16"/>
      <w:szCs w:val="16"/>
    </w:rPr>
  </w:style>
  <w:style w:type="character" w:customStyle="1" w:styleId="148">
    <w:name w:val="Macro Text Char"/>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 w:type="paragraph" w:customStyle="1" w:styleId="165">
    <w:name w:val="Default"/>
    <w:qFormat/>
    <w:uiPriority w:val="0"/>
    <w:pPr>
      <w:widowControl w:val="0"/>
      <w:autoSpaceDE w:val="0"/>
      <w:autoSpaceDN w:val="0"/>
      <w:adjustRightInd w:val="0"/>
    </w:pPr>
    <w:rPr>
      <w:rFonts w:ascii="黑体" w:hAnsi="黑体" w:eastAsia="宋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3751</Words>
  <Characters>3961</Characters>
  <Lines>0</Lines>
  <Paragraphs>0</Paragraphs>
  <TotalTime>0</TotalTime>
  <ScaleCrop>false</ScaleCrop>
  <LinksUpToDate>false</LinksUpToDate>
  <CharactersWithSpaces>4018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陈文龙</cp:lastModifiedBy>
  <dcterms:modified xsi:type="dcterms:W3CDTF">2026-08-02T15:26:02Z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eyJoZGlkIjoiOTZjYTRlODRjY2NjOTc0ZGYzOGNhOTJjNTQwMTY1MGQiLCJ1c2VySWQiOiIzMTE4ODU5MTcifQ==</vt:lpwstr>
  </property>
  <property fmtid="{D5CDD505-2E9C-101B-9397-08002B2CF9AE}" pid="3" name="KSOProductBuildVer">
    <vt:lpwstr>2052-12.1.0.28043</vt:lpwstr>
  </property>
  <property fmtid="{D5CDD505-2E9C-101B-9397-08002B2CF9AE}" pid="4" name="ICV">
    <vt:lpwstr>DED1B1D4D7F94000807040C05A5ADA90_13</vt:lpwstr>
  </property>
</Properties>
</file>