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65896A">
      <w:pPr>
        <w:rPr>
          <w:b/>
          <w:bCs/>
          <w:sz w:val="36"/>
          <w:szCs w:val="36"/>
        </w:rPr>
      </w:pPr>
      <w:r>
        <w:rPr>
          <w:rFonts w:hint="eastAsia"/>
          <w:sz w:val="32"/>
          <w:szCs w:val="32"/>
        </w:rPr>
        <w:t>附件</w:t>
      </w:r>
      <w:r>
        <w:rPr>
          <w:rFonts w:hint="eastAsia"/>
          <w:sz w:val="32"/>
          <w:szCs w:val="32"/>
          <w:lang w:val="en-US" w:eastAsia="zh-CN"/>
        </w:rPr>
        <w:t>2</w:t>
      </w:r>
      <w:r>
        <w:rPr>
          <w:rFonts w:hint="eastAsia"/>
          <w:sz w:val="32"/>
          <w:szCs w:val="32"/>
        </w:rPr>
        <w:t>：</w:t>
      </w:r>
    </w:p>
    <w:p w14:paraId="77E4378E">
      <w:pPr>
        <w:jc w:val="center"/>
        <w:rPr>
          <w:rFonts w:hint="eastAsia"/>
          <w:b/>
          <w:bCs/>
          <w:sz w:val="36"/>
          <w:szCs w:val="36"/>
        </w:rPr>
      </w:pPr>
    </w:p>
    <w:p w14:paraId="3DE03441">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b w:val="0"/>
          <w:bCs w:val="0"/>
          <w:sz w:val="40"/>
          <w:szCs w:val="40"/>
        </w:rPr>
      </w:pPr>
      <w:r>
        <w:rPr>
          <w:rFonts w:hint="eastAsia" w:ascii="方正小标宋简体" w:hAnsi="方正小标宋简体" w:eastAsia="方正小标宋简体" w:cs="方正小标宋简体"/>
          <w:b w:val="0"/>
          <w:bCs w:val="0"/>
          <w:sz w:val="40"/>
          <w:szCs w:val="40"/>
        </w:rPr>
        <w:t>申报自然资源工程专业中、初级职称学历资历、工作经历能力、业绩成果及学术技术条件</w:t>
      </w:r>
    </w:p>
    <w:p w14:paraId="264DD055">
      <w:pPr>
        <w:ind w:firstLine="640" w:firstLineChars="200"/>
        <w:rPr>
          <w:rFonts w:hint="eastAsia" w:ascii="黑体" w:hAnsi="黑体" w:eastAsia="黑体" w:cs="黑体"/>
          <w:sz w:val="32"/>
          <w:szCs w:val="32"/>
        </w:rPr>
      </w:pPr>
    </w:p>
    <w:p w14:paraId="46881E46">
      <w:pPr>
        <w:ind w:firstLine="640" w:firstLineChars="200"/>
        <w:rPr>
          <w:rFonts w:ascii="黑体" w:hAnsi="黑体" w:eastAsia="黑体" w:cs="黑体"/>
          <w:sz w:val="32"/>
          <w:szCs w:val="32"/>
        </w:rPr>
      </w:pPr>
      <w:r>
        <w:rPr>
          <w:rFonts w:hint="eastAsia" w:ascii="黑体" w:hAnsi="黑体" w:eastAsia="黑体" w:cs="黑体"/>
          <w:sz w:val="32"/>
          <w:szCs w:val="32"/>
        </w:rPr>
        <w:t>一、学历资历条件</w:t>
      </w:r>
    </w:p>
    <w:p w14:paraId="5033AAB7">
      <w:pPr>
        <w:ind w:firstLine="640" w:firstLineChars="200"/>
        <w:rPr>
          <w:rFonts w:hint="eastAsia" w:ascii="楷体" w:hAnsi="楷体" w:eastAsia="楷体" w:cs="楷体"/>
          <w:b w:val="0"/>
          <w:bCs w:val="0"/>
          <w:sz w:val="32"/>
          <w:szCs w:val="32"/>
        </w:rPr>
      </w:pPr>
      <w:r>
        <w:rPr>
          <w:rFonts w:hint="eastAsia" w:ascii="楷体" w:hAnsi="楷体" w:eastAsia="楷体" w:cs="楷体"/>
          <w:b w:val="0"/>
          <w:bCs w:val="0"/>
          <w:sz w:val="32"/>
          <w:szCs w:val="32"/>
        </w:rPr>
        <w:t>（一）学历条件</w:t>
      </w:r>
    </w:p>
    <w:p w14:paraId="16505200">
      <w:pPr>
        <w:ind w:firstLine="640" w:firstLineChars="200"/>
        <w:rPr>
          <w:rFonts w:ascii="仿宋" w:hAnsi="仿宋" w:eastAsia="仿宋"/>
          <w:sz w:val="32"/>
          <w:szCs w:val="32"/>
        </w:rPr>
      </w:pPr>
      <w:r>
        <w:rPr>
          <w:rFonts w:hint="eastAsia" w:ascii="仿宋" w:hAnsi="仿宋" w:eastAsia="仿宋"/>
          <w:sz w:val="32"/>
          <w:szCs w:val="32"/>
        </w:rPr>
        <w:t>申报工程师须具备本专业或相近专业大学专科毕业及以上学历。对在基层一线、艰苦边远地区从事本专业技术工作满20年且业绩突出的，学历可放宽至中等专业学历。</w:t>
      </w:r>
    </w:p>
    <w:p w14:paraId="3BBFD305">
      <w:pPr>
        <w:pStyle w:val="7"/>
        <w:shd w:val="clear" w:color="auto" w:fill="FFFFFF"/>
        <w:spacing w:beforeAutospacing="0" w:afterAutospacing="0" w:line="600" w:lineRule="exact"/>
        <w:ind w:firstLine="640" w:firstLineChars="200"/>
        <w:jc w:val="both"/>
        <w:rPr>
          <w:rFonts w:ascii="仿宋" w:hAnsi="仿宋" w:eastAsia="仿宋" w:cstheme="minorBidi"/>
          <w:kern w:val="2"/>
          <w:sz w:val="32"/>
          <w:szCs w:val="32"/>
        </w:rPr>
      </w:pPr>
      <w:r>
        <w:rPr>
          <w:rFonts w:ascii="仿宋" w:hAnsi="仿宋" w:eastAsia="仿宋" w:cstheme="minorBidi"/>
          <w:kern w:val="2"/>
          <w:sz w:val="32"/>
          <w:szCs w:val="32"/>
        </w:rPr>
        <w:t>申报助理工程师须具备</w:t>
      </w:r>
      <w:r>
        <w:rPr>
          <w:rFonts w:hint="eastAsia" w:ascii="仿宋" w:hAnsi="仿宋" w:eastAsia="仿宋" w:cstheme="minorBidi"/>
          <w:kern w:val="2"/>
          <w:sz w:val="32"/>
          <w:szCs w:val="32"/>
        </w:rPr>
        <w:t>本</w:t>
      </w:r>
      <w:r>
        <w:rPr>
          <w:rFonts w:ascii="仿宋" w:hAnsi="仿宋" w:eastAsia="仿宋" w:cstheme="minorBidi"/>
          <w:kern w:val="2"/>
          <w:sz w:val="32"/>
          <w:szCs w:val="32"/>
        </w:rPr>
        <w:t>专业或相近专业</w:t>
      </w:r>
      <w:r>
        <w:rPr>
          <w:rFonts w:hint="eastAsia" w:ascii="仿宋" w:hAnsi="仿宋" w:eastAsia="仿宋" w:cstheme="minorBidi"/>
          <w:kern w:val="2"/>
          <w:sz w:val="32"/>
          <w:szCs w:val="32"/>
        </w:rPr>
        <w:t>大学大</w:t>
      </w:r>
      <w:r>
        <w:rPr>
          <w:rFonts w:ascii="仿宋" w:hAnsi="仿宋" w:eastAsia="仿宋" w:cstheme="minorBidi"/>
          <w:kern w:val="2"/>
          <w:sz w:val="32"/>
          <w:szCs w:val="32"/>
        </w:rPr>
        <w:t>专及以上学历。</w:t>
      </w:r>
    </w:p>
    <w:p w14:paraId="7AC153AB">
      <w:pPr>
        <w:ind w:firstLine="640" w:firstLineChars="200"/>
        <w:rPr>
          <w:rFonts w:ascii="仿宋" w:hAnsi="仿宋" w:eastAsia="仿宋"/>
          <w:sz w:val="32"/>
          <w:szCs w:val="32"/>
        </w:rPr>
      </w:pPr>
      <w:r>
        <w:rPr>
          <w:rFonts w:hint="eastAsia" w:ascii="仿宋" w:hAnsi="仿宋" w:eastAsia="仿宋"/>
          <w:sz w:val="32"/>
          <w:szCs w:val="32"/>
        </w:rPr>
        <w:t>申报自然资源类专业人员相近专业主要是指与自然资源类专业相关的理学、工学专业。所学专业为植物生产类、自然保护与环境生态类、林学类、草学类，以及土地资源管理、自然资源登记与管理专业的也可申报国土空间规划、国土调查评价、国土整治、自然资源确权登记、水工环地质、地形测量、地籍测量专业工程师。所学专业为设计类、艺术设计学的也可申报国土空间规划、地图制图专业工程师。</w:t>
      </w:r>
    </w:p>
    <w:p w14:paraId="1185A28B">
      <w:pPr>
        <w:ind w:firstLine="640" w:firstLineChars="200"/>
        <w:rPr>
          <w:rFonts w:ascii="仿宋" w:hAnsi="仿宋" w:eastAsia="仿宋"/>
          <w:sz w:val="32"/>
          <w:szCs w:val="32"/>
        </w:rPr>
      </w:pPr>
      <w:r>
        <w:rPr>
          <w:rFonts w:hint="eastAsia" w:ascii="仿宋" w:hAnsi="仿宋" w:eastAsia="仿宋"/>
          <w:sz w:val="32"/>
          <w:szCs w:val="32"/>
        </w:rPr>
        <w:t>基层一线人员主要是指在县（市、区）以下企事业单位工作的人员。艰苦岗位人员指在野外一线从事地质勘查、钻探、物探、水文地质、测绘、国土调查等工作的人员。</w:t>
      </w:r>
    </w:p>
    <w:p w14:paraId="51AC2455">
      <w:pPr>
        <w:ind w:firstLine="640" w:firstLineChars="200"/>
        <w:rPr>
          <w:rFonts w:ascii="仿宋" w:hAnsi="仿宋" w:eastAsia="仿宋"/>
          <w:sz w:val="32"/>
          <w:szCs w:val="32"/>
        </w:rPr>
      </w:pPr>
      <w:r>
        <w:rPr>
          <w:rFonts w:hint="eastAsia" w:ascii="仿宋" w:hAnsi="仿宋" w:eastAsia="仿宋"/>
          <w:sz w:val="32"/>
          <w:szCs w:val="32"/>
        </w:rPr>
        <w:t>关于学历认可，均以申报时本人持有的、国家教育行政部门和国务院学位委员会承认的、与本人所从事专业相同或相近的毕业或学位证书为准。大专以上学历认定一律以“学信网”或教育部学生服务与素质发展中心出具的《中国高等教育学历认证报告》等可查信息为准。专业证书和结业证书，不能作为学历依据。</w:t>
      </w:r>
    </w:p>
    <w:p w14:paraId="690406B0">
      <w:pPr>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（二）资历条件</w:t>
      </w:r>
    </w:p>
    <w:p w14:paraId="472F5970">
      <w:pPr>
        <w:ind w:firstLine="640" w:firstLineChars="200"/>
        <w:rPr>
          <w:rFonts w:ascii="仿宋" w:hAnsi="仿宋" w:eastAsia="仿宋" w:cs="楷体"/>
          <w:sz w:val="32"/>
          <w:szCs w:val="32"/>
        </w:rPr>
      </w:pPr>
      <w:r>
        <w:rPr>
          <w:rFonts w:hint="eastAsia" w:ascii="仿宋" w:hAnsi="仿宋" w:eastAsia="仿宋" w:cs="楷体"/>
          <w:sz w:val="32"/>
          <w:szCs w:val="32"/>
        </w:rPr>
        <w:t>1、申报工程师</w:t>
      </w:r>
    </w:p>
    <w:p w14:paraId="2D8FE9C6">
      <w:pPr>
        <w:ind w:firstLine="640" w:firstLineChars="200"/>
        <w:rPr>
          <w:rFonts w:hint="eastAsia" w:ascii="仿宋" w:hAnsi="仿宋" w:eastAsia="仿宋"/>
          <w:sz w:val="32"/>
          <w:szCs w:val="32"/>
        </w:rPr>
      </w:pPr>
      <w:r>
        <w:rPr>
          <w:rFonts w:hint="eastAsia" w:ascii="仿宋" w:hAnsi="仿宋" w:eastAsia="仿宋"/>
          <w:sz w:val="32"/>
          <w:szCs w:val="32"/>
        </w:rPr>
        <w:t>（1）具备本专业或相近专业博士学位的，从事本专业技术工作；</w:t>
      </w:r>
    </w:p>
    <w:p w14:paraId="10320157">
      <w:pPr>
        <w:ind w:firstLine="640" w:firstLineChars="200"/>
        <w:rPr>
          <w:rFonts w:ascii="仿宋" w:hAnsi="仿宋" w:eastAsia="仿宋"/>
          <w:sz w:val="32"/>
          <w:szCs w:val="32"/>
        </w:rPr>
      </w:pPr>
      <w:r>
        <w:rPr>
          <w:rFonts w:hint="eastAsia" w:ascii="仿宋" w:hAnsi="仿宋" w:eastAsia="仿宋"/>
          <w:sz w:val="32"/>
          <w:szCs w:val="32"/>
        </w:rPr>
        <w:t>（2）具备本专业或相近专业硕士学位或第二学士学位的，聘任助理工程师并从事本专业技术工作满2年，即202</w:t>
      </w:r>
      <w:r>
        <w:rPr>
          <w:rFonts w:ascii="仿宋" w:hAnsi="仿宋" w:eastAsia="仿宋"/>
          <w:sz w:val="32"/>
          <w:szCs w:val="32"/>
        </w:rPr>
        <w:t>4</w:t>
      </w:r>
      <w:r>
        <w:rPr>
          <w:rFonts w:hint="eastAsia" w:ascii="仿宋" w:hAnsi="仿宋" w:eastAsia="仿宋"/>
          <w:sz w:val="32"/>
          <w:szCs w:val="32"/>
        </w:rPr>
        <w:t>年底前聘任助理工程师；</w:t>
      </w:r>
    </w:p>
    <w:p w14:paraId="5DCA9DDE">
      <w:pPr>
        <w:ind w:firstLine="640" w:firstLineChars="200"/>
        <w:rPr>
          <w:rFonts w:ascii="仿宋" w:hAnsi="仿宋" w:eastAsia="仿宋"/>
          <w:sz w:val="32"/>
          <w:szCs w:val="32"/>
        </w:rPr>
      </w:pPr>
      <w:r>
        <w:rPr>
          <w:rFonts w:hint="eastAsia" w:ascii="仿宋" w:hAnsi="仿宋" w:eastAsia="仿宋"/>
          <w:sz w:val="32"/>
          <w:szCs w:val="32"/>
        </w:rPr>
        <w:t>（3）具备本专业或相近专业大学本科、大学专科学历或学士学位的，聘任助理工程师并从事本专业技术工作满4年，即202</w:t>
      </w:r>
      <w:r>
        <w:rPr>
          <w:rFonts w:ascii="仿宋" w:hAnsi="仿宋" w:eastAsia="仿宋"/>
          <w:sz w:val="32"/>
          <w:szCs w:val="32"/>
        </w:rPr>
        <w:t>2</w:t>
      </w:r>
      <w:r>
        <w:rPr>
          <w:rFonts w:hint="eastAsia" w:ascii="仿宋" w:hAnsi="仿宋" w:eastAsia="仿宋"/>
          <w:sz w:val="32"/>
          <w:szCs w:val="32"/>
        </w:rPr>
        <w:t>年底前聘任助理工程师。</w:t>
      </w:r>
    </w:p>
    <w:p w14:paraId="15E53E54">
      <w:pPr>
        <w:ind w:firstLine="640" w:firstLineChars="200"/>
        <w:rPr>
          <w:rFonts w:ascii="仿宋" w:hAnsi="仿宋" w:eastAsia="仿宋"/>
          <w:sz w:val="32"/>
          <w:szCs w:val="32"/>
        </w:rPr>
      </w:pPr>
      <w:r>
        <w:rPr>
          <w:rFonts w:hint="eastAsia" w:ascii="仿宋" w:hAnsi="仿宋" w:eastAsia="仿宋" w:cs="楷体"/>
          <w:sz w:val="32"/>
          <w:szCs w:val="32"/>
        </w:rPr>
        <w:t>2、申报</w:t>
      </w:r>
      <w:r>
        <w:rPr>
          <w:rFonts w:hint="eastAsia" w:ascii="仿宋" w:hAnsi="仿宋" w:eastAsia="仿宋"/>
          <w:sz w:val="32"/>
          <w:szCs w:val="32"/>
        </w:rPr>
        <w:t>助理工程师</w:t>
      </w:r>
    </w:p>
    <w:p w14:paraId="4D8D644A">
      <w:pPr>
        <w:ind w:firstLine="640" w:firstLineChars="200"/>
        <w:rPr>
          <w:rFonts w:ascii="仿宋" w:hAnsi="仿宋" w:eastAsia="仿宋"/>
          <w:sz w:val="32"/>
          <w:szCs w:val="32"/>
        </w:rPr>
      </w:pPr>
      <w:r>
        <w:rPr>
          <w:rFonts w:hint="eastAsia" w:ascii="仿宋" w:hAnsi="仿宋" w:eastAsia="仿宋"/>
          <w:sz w:val="32"/>
          <w:szCs w:val="32"/>
        </w:rPr>
        <w:t>（1）具备本专业或相近专业硕士学位或第二学士学位的；</w:t>
      </w:r>
    </w:p>
    <w:p w14:paraId="3F4E6C3B">
      <w:pPr>
        <w:ind w:firstLine="640" w:firstLineChars="200"/>
        <w:rPr>
          <w:rFonts w:ascii="仿宋" w:hAnsi="仿宋" w:eastAsia="仿宋"/>
          <w:sz w:val="32"/>
          <w:szCs w:val="32"/>
        </w:rPr>
      </w:pPr>
      <w:r>
        <w:rPr>
          <w:rFonts w:hint="eastAsia" w:ascii="仿宋" w:hAnsi="仿宋" w:eastAsia="仿宋"/>
          <w:sz w:val="32"/>
          <w:szCs w:val="32"/>
        </w:rPr>
        <w:t>（2）具备本专业或相近专业大学本科学历或学士学位的，从事本专业技术工作满1年；</w:t>
      </w:r>
    </w:p>
    <w:p w14:paraId="0A783B51">
      <w:pPr>
        <w:ind w:firstLine="640" w:firstLineChars="200"/>
        <w:rPr>
          <w:rFonts w:ascii="仿宋" w:hAnsi="仿宋" w:eastAsia="仿宋"/>
          <w:sz w:val="32"/>
          <w:szCs w:val="32"/>
        </w:rPr>
      </w:pPr>
      <w:r>
        <w:rPr>
          <w:rFonts w:hint="eastAsia" w:ascii="仿宋" w:hAnsi="仿宋" w:eastAsia="仿宋"/>
          <w:sz w:val="32"/>
          <w:szCs w:val="32"/>
        </w:rPr>
        <w:t>（3）具备本专业或相近专业大学专科学历的，并从事本专业技术工作满2年；</w:t>
      </w:r>
    </w:p>
    <w:p w14:paraId="6CEF511B">
      <w:pPr>
        <w:ind w:firstLine="640" w:firstLineChars="200"/>
        <w:rPr>
          <w:rFonts w:hint="default" w:eastAsiaTheme="minorEastAsia"/>
          <w:sz w:val="28"/>
          <w:szCs w:val="28"/>
          <w:lang w:val="en-US" w:eastAsia="zh-CN"/>
        </w:rPr>
      </w:pPr>
      <w:r>
        <w:rPr>
          <w:rFonts w:hint="eastAsia" w:ascii="仿宋" w:hAnsi="仿宋" w:eastAsia="仿宋"/>
          <w:sz w:val="32"/>
          <w:szCs w:val="32"/>
        </w:rPr>
        <w:t>事业单位专业技术人员以本人工资调整审批表中岗位聘任时间为准，</w:t>
      </w:r>
      <w:r>
        <w:rPr>
          <w:rFonts w:hint="eastAsia" w:ascii="仿宋" w:hAnsi="仿宋" w:eastAsia="仿宋"/>
          <w:sz w:val="32"/>
          <w:szCs w:val="32"/>
          <w:lang w:val="en-US" w:eastAsia="zh-CN"/>
        </w:rPr>
        <w:t>需提供聘任后的工资调整审批表；</w:t>
      </w:r>
      <w:r>
        <w:rPr>
          <w:rFonts w:hint="eastAsia" w:ascii="仿宋" w:hAnsi="仿宋" w:eastAsia="仿宋"/>
          <w:sz w:val="32"/>
          <w:szCs w:val="32"/>
        </w:rPr>
        <w:t>国有企业专业技术人员以聘任文件时间为准，非公经济组</w:t>
      </w:r>
      <w:r>
        <w:rPr>
          <w:rFonts w:hint="eastAsia" w:ascii="仿宋" w:hAnsi="仿宋" w:eastAsia="仿宋"/>
          <w:sz w:val="32"/>
          <w:szCs w:val="32"/>
          <w:lang w:eastAsia="zh-CN"/>
        </w:rPr>
        <w:t>织、</w:t>
      </w:r>
      <w:r>
        <w:rPr>
          <w:rFonts w:hint="eastAsia" w:ascii="仿宋" w:hAnsi="仿宋" w:eastAsia="仿宋"/>
          <w:sz w:val="32"/>
          <w:szCs w:val="32"/>
          <w:lang w:val="en-US" w:eastAsia="zh-CN"/>
        </w:rPr>
        <w:t>灵活就业人员、自由职业者</w:t>
      </w:r>
      <w:r>
        <w:rPr>
          <w:rFonts w:hint="eastAsia" w:ascii="仿宋" w:hAnsi="仿宋" w:eastAsia="仿宋"/>
          <w:sz w:val="32"/>
          <w:szCs w:val="32"/>
        </w:rPr>
        <w:t>等专业技术人员以取得相关资格时间为准</w:t>
      </w:r>
      <w:r>
        <w:rPr>
          <w:rFonts w:hint="eastAsia" w:ascii="仿宋" w:hAnsi="仿宋" w:eastAsia="仿宋"/>
          <w:sz w:val="32"/>
          <w:szCs w:val="32"/>
          <w:lang w:eastAsia="zh-CN"/>
        </w:rPr>
        <w:t>，均</w:t>
      </w:r>
      <w:r>
        <w:rPr>
          <w:rFonts w:hint="eastAsia" w:ascii="仿宋" w:hAnsi="仿宋" w:eastAsia="仿宋"/>
          <w:sz w:val="32"/>
          <w:szCs w:val="32"/>
          <w:lang w:val="en-US" w:eastAsia="zh-CN"/>
        </w:rPr>
        <w:t>需提供资历条件要求的参保证明。</w:t>
      </w:r>
    </w:p>
    <w:p w14:paraId="1876A1CB">
      <w:pPr>
        <w:widowControl/>
        <w:spacing w:line="600" w:lineRule="exact"/>
        <w:ind w:firstLine="640" w:firstLineChars="200"/>
        <w:jc w:val="left"/>
        <w:textAlignment w:val="baseline"/>
        <w:rPr>
          <w:rFonts w:ascii="仿宋" w:hAnsi="仿宋" w:eastAsia="仿宋"/>
          <w:sz w:val="32"/>
          <w:szCs w:val="32"/>
        </w:rPr>
      </w:pPr>
      <w:r>
        <w:rPr>
          <w:rFonts w:hint="eastAsia" w:ascii="仿宋" w:hAnsi="仿宋" w:eastAsia="仿宋"/>
          <w:sz w:val="32"/>
          <w:szCs w:val="32"/>
        </w:rPr>
        <w:t>申报人员同一年度不得同时申请职称评审和职称初定，不得申报晋升不同系列、不同专业的同级职称。</w:t>
      </w:r>
    </w:p>
    <w:p w14:paraId="28530F8F">
      <w:pPr>
        <w:ind w:firstLine="640" w:firstLineChars="200"/>
        <w:rPr>
          <w:rFonts w:ascii="黑体" w:hAnsi="黑体" w:eastAsia="黑体" w:cs="黑体"/>
          <w:sz w:val="32"/>
          <w:szCs w:val="32"/>
        </w:rPr>
      </w:pPr>
      <w:r>
        <w:rPr>
          <w:rFonts w:hint="eastAsia" w:ascii="黑体" w:hAnsi="黑体" w:eastAsia="黑体" w:cs="黑体"/>
          <w:sz w:val="32"/>
          <w:szCs w:val="32"/>
        </w:rPr>
        <w:t>二、工作经历能力条件</w:t>
      </w:r>
    </w:p>
    <w:p w14:paraId="3F10C856">
      <w:pPr>
        <w:ind w:firstLine="640" w:firstLineChars="200"/>
        <w:rPr>
          <w:rFonts w:ascii="仿宋" w:hAnsi="仿宋" w:eastAsia="仿宋"/>
          <w:sz w:val="32"/>
          <w:szCs w:val="32"/>
        </w:rPr>
      </w:pPr>
      <w:r>
        <w:rPr>
          <w:rFonts w:hint="eastAsia" w:ascii="仿宋" w:hAnsi="仿宋" w:eastAsia="仿宋"/>
          <w:sz w:val="32"/>
          <w:szCs w:val="32"/>
        </w:rPr>
        <w:t>1.工程师。任助理工程师期间，须承担完成下列本专业的工作项目之一：</w:t>
      </w:r>
    </w:p>
    <w:p w14:paraId="376F9546">
      <w:pPr>
        <w:ind w:firstLine="640" w:firstLineChars="200"/>
        <w:rPr>
          <w:rFonts w:ascii="仿宋" w:hAnsi="仿宋" w:eastAsia="仿宋"/>
          <w:sz w:val="32"/>
          <w:szCs w:val="32"/>
        </w:rPr>
      </w:pPr>
      <w:r>
        <w:rPr>
          <w:rFonts w:hint="eastAsia" w:ascii="仿宋" w:hAnsi="仿宋" w:eastAsia="仿宋"/>
          <w:sz w:val="32"/>
          <w:szCs w:val="32"/>
        </w:rPr>
        <w:t>(1)作为主要负责人或主要技术骨干，完成市（厅）级或大型企业重点工程项目一项及以上，或县级工程项目两项及以上，经有关主管部门验收评审通过。</w:t>
      </w:r>
    </w:p>
    <w:p w14:paraId="57964990">
      <w:pPr>
        <w:ind w:firstLine="640" w:firstLineChars="200"/>
        <w:rPr>
          <w:rFonts w:ascii="仿宋" w:hAnsi="仿宋" w:eastAsia="仿宋"/>
          <w:sz w:val="32"/>
          <w:szCs w:val="32"/>
        </w:rPr>
      </w:pPr>
      <w:r>
        <w:rPr>
          <w:rFonts w:hint="eastAsia" w:ascii="仿宋" w:hAnsi="仿宋" w:eastAsia="仿宋"/>
          <w:sz w:val="32"/>
          <w:szCs w:val="32"/>
        </w:rPr>
        <w:t>(2)作为主要负责人或主要技术骨干，完成市级科研项目、科技成果推广示范项目或技术支撑项目一项以上，经有关主管部门验收通过</w:t>
      </w:r>
    </w:p>
    <w:p w14:paraId="3FDABEAD">
      <w:pPr>
        <w:ind w:firstLine="640" w:firstLineChars="200"/>
        <w:rPr>
          <w:rFonts w:ascii="仿宋" w:hAnsi="仿宋" w:eastAsia="仿宋"/>
          <w:sz w:val="32"/>
          <w:szCs w:val="32"/>
        </w:rPr>
      </w:pPr>
      <w:r>
        <w:rPr>
          <w:rFonts w:hint="eastAsia" w:ascii="仿宋" w:hAnsi="仿宋" w:eastAsia="仿宋"/>
          <w:sz w:val="32"/>
          <w:szCs w:val="32"/>
        </w:rPr>
        <w:t>(3)作为主要负责人或主要技术骨干，编制完成工程项目的实施方案、作业设计、科研报告、行业发展规划、技术规程等两项以上，经有关主管部门验收通过。</w:t>
      </w:r>
    </w:p>
    <w:p w14:paraId="7501EDAA">
      <w:pPr>
        <w:ind w:firstLine="640" w:firstLineChars="200"/>
        <w:rPr>
          <w:rFonts w:ascii="仿宋" w:hAnsi="仿宋" w:eastAsia="仿宋"/>
          <w:sz w:val="32"/>
          <w:szCs w:val="32"/>
        </w:rPr>
      </w:pPr>
      <w:r>
        <w:rPr>
          <w:rFonts w:hint="eastAsia" w:ascii="仿宋" w:hAnsi="仿宋" w:eastAsia="仿宋"/>
          <w:sz w:val="32"/>
          <w:szCs w:val="32"/>
        </w:rPr>
        <w:t>2.助理工程师。</w:t>
      </w:r>
    </w:p>
    <w:p w14:paraId="57A4BBDB">
      <w:pPr>
        <w:spacing w:line="560" w:lineRule="exact"/>
        <w:ind w:firstLine="640" w:firstLineChars="200"/>
        <w:rPr>
          <w:rFonts w:ascii="仿宋" w:hAnsi="仿宋" w:eastAsia="仿宋"/>
          <w:sz w:val="32"/>
          <w:szCs w:val="32"/>
        </w:rPr>
      </w:pPr>
      <w:r>
        <w:rPr>
          <w:rFonts w:hint="eastAsia" w:ascii="仿宋" w:hAnsi="仿宋" w:eastAsia="仿宋"/>
          <w:sz w:val="32"/>
          <w:szCs w:val="32"/>
        </w:rPr>
        <w:t>参与本单位自然资源工程方面的规划、勘测、设计、施工、生产等工作。</w:t>
      </w:r>
    </w:p>
    <w:p w14:paraId="135EEE38">
      <w:pPr>
        <w:ind w:firstLine="640" w:firstLineChars="200"/>
        <w:rPr>
          <w:rFonts w:ascii="黑体" w:hAnsi="黑体" w:eastAsia="黑体" w:cs="黑体"/>
          <w:sz w:val="32"/>
          <w:szCs w:val="32"/>
        </w:rPr>
      </w:pPr>
      <w:r>
        <w:rPr>
          <w:rFonts w:hint="eastAsia" w:ascii="黑体" w:hAnsi="黑体" w:eastAsia="黑体" w:cs="黑体"/>
          <w:sz w:val="32"/>
          <w:szCs w:val="32"/>
        </w:rPr>
        <w:t>三、业绩成果条件</w:t>
      </w:r>
    </w:p>
    <w:p w14:paraId="4E232AAE">
      <w:pPr>
        <w:ind w:firstLine="640" w:firstLineChars="200"/>
        <w:rPr>
          <w:rFonts w:ascii="仿宋" w:hAnsi="仿宋" w:eastAsia="仿宋"/>
          <w:sz w:val="32"/>
          <w:szCs w:val="32"/>
        </w:rPr>
      </w:pPr>
      <w:r>
        <w:rPr>
          <w:rFonts w:hint="eastAsia" w:ascii="仿宋" w:hAnsi="仿宋" w:eastAsia="仿宋"/>
          <w:sz w:val="32"/>
          <w:szCs w:val="32"/>
        </w:rPr>
        <w:t>1、工程师。任助理工程师期间，取得的本专业以下业绩成果条件之一：</w:t>
      </w:r>
    </w:p>
    <w:p w14:paraId="42A4C77F">
      <w:pPr>
        <w:ind w:firstLine="640" w:firstLineChars="200"/>
        <w:rPr>
          <w:rFonts w:ascii="仿宋" w:hAnsi="仿宋" w:eastAsia="仿宋"/>
          <w:sz w:val="32"/>
          <w:szCs w:val="32"/>
        </w:rPr>
      </w:pPr>
      <w:r>
        <w:rPr>
          <w:rFonts w:hint="eastAsia" w:ascii="仿宋" w:hAnsi="仿宋" w:eastAsia="仿宋"/>
          <w:sz w:val="32"/>
          <w:szCs w:val="32"/>
        </w:rPr>
        <w:t>（1）作为主要负责人或主要技术骨干完成的工程技术项目获市（厅）级一项及以上奖项，或县级两项及以上奖项；</w:t>
      </w:r>
    </w:p>
    <w:p w14:paraId="01228C44">
      <w:pPr>
        <w:ind w:firstLine="640" w:firstLineChars="200"/>
        <w:rPr>
          <w:rFonts w:ascii="仿宋" w:hAnsi="仿宋" w:eastAsia="仿宋"/>
          <w:sz w:val="32"/>
          <w:szCs w:val="32"/>
        </w:rPr>
      </w:pPr>
      <w:r>
        <w:rPr>
          <w:rFonts w:hint="eastAsia" w:ascii="仿宋" w:hAnsi="仿宋" w:eastAsia="仿宋"/>
          <w:sz w:val="32"/>
          <w:szCs w:val="32"/>
        </w:rPr>
        <w:t>（2）作为主要负责人或主要技术骨干完成本专业领域国家发明专利、实用新型专利一项及以上，专利须在有效期内，并已转化实施取得了良好的经济效益（须有专利成果应用单位证明或技术转让合同）；</w:t>
      </w:r>
    </w:p>
    <w:p w14:paraId="6F5528D2">
      <w:pPr>
        <w:ind w:firstLine="640" w:firstLineChars="200"/>
        <w:rPr>
          <w:rFonts w:ascii="仿宋" w:hAnsi="仿宋" w:eastAsia="仿宋"/>
          <w:sz w:val="32"/>
          <w:szCs w:val="32"/>
        </w:rPr>
      </w:pPr>
      <w:r>
        <w:rPr>
          <w:rFonts w:hint="eastAsia" w:ascii="仿宋" w:hAnsi="仿宋" w:eastAsia="仿宋"/>
          <w:sz w:val="32"/>
          <w:szCs w:val="32"/>
        </w:rPr>
        <w:t>（3）作为主要负责人或主要技术骨干完成一项及以上市（厅）级或行业技术标准、规范、规程等；</w:t>
      </w:r>
    </w:p>
    <w:p w14:paraId="5C76DBD2">
      <w:pPr>
        <w:ind w:firstLine="640" w:firstLineChars="200"/>
        <w:rPr>
          <w:rFonts w:ascii="仿宋" w:hAnsi="仿宋" w:eastAsia="仿宋"/>
          <w:sz w:val="32"/>
          <w:szCs w:val="32"/>
        </w:rPr>
      </w:pPr>
      <w:r>
        <w:rPr>
          <w:rFonts w:hint="eastAsia" w:ascii="仿宋" w:hAnsi="仿宋" w:eastAsia="仿宋"/>
          <w:sz w:val="32"/>
          <w:szCs w:val="32"/>
        </w:rPr>
        <w:t>（4）作为主要负责人或主要技术骨干完成一项及以上工程技术项目受到县级以上主管部门书面表扬；</w:t>
      </w:r>
    </w:p>
    <w:p w14:paraId="2C9D9DCF">
      <w:pPr>
        <w:ind w:firstLine="640" w:firstLineChars="200"/>
        <w:rPr>
          <w:rFonts w:ascii="仿宋" w:hAnsi="仿宋" w:eastAsia="仿宋"/>
          <w:sz w:val="32"/>
          <w:szCs w:val="32"/>
        </w:rPr>
      </w:pPr>
      <w:r>
        <w:rPr>
          <w:rFonts w:hint="eastAsia" w:ascii="仿宋" w:hAnsi="仿宋" w:eastAsia="仿宋"/>
          <w:sz w:val="32"/>
          <w:szCs w:val="32"/>
        </w:rPr>
        <w:t>（5）完成市（厅）级一项及以上工程技术项目，或县级两项及以上工程技术项目，经有关主管部门验收评审通过（批复、备案）；</w:t>
      </w:r>
    </w:p>
    <w:p w14:paraId="636CE2CD">
      <w:pPr>
        <w:ind w:firstLine="640" w:firstLineChars="200"/>
        <w:rPr>
          <w:rFonts w:ascii="仿宋" w:hAnsi="仿宋" w:eastAsia="仿宋"/>
          <w:sz w:val="32"/>
          <w:szCs w:val="32"/>
        </w:rPr>
      </w:pPr>
      <w:r>
        <w:rPr>
          <w:rFonts w:hint="eastAsia" w:ascii="仿宋" w:hAnsi="仿宋" w:eastAsia="仿宋"/>
          <w:sz w:val="32"/>
          <w:szCs w:val="32"/>
        </w:rPr>
        <w:t>（6）参加本行业领域职业技能竞赛，个人成绩获国家级赛前30名或三等奖一项及以上，或省级竞赛前20名或二等奖一项及以上或三等奖两项及以上，或市级竞赛前10名；</w:t>
      </w:r>
    </w:p>
    <w:p w14:paraId="4F87CF95">
      <w:pPr>
        <w:ind w:firstLine="640" w:firstLineChars="200"/>
        <w:rPr>
          <w:rFonts w:ascii="仿宋" w:hAnsi="仿宋" w:eastAsia="仿宋"/>
          <w:sz w:val="32"/>
          <w:szCs w:val="32"/>
        </w:rPr>
      </w:pPr>
      <w:r>
        <w:rPr>
          <w:rFonts w:hint="eastAsia" w:ascii="仿宋" w:hAnsi="仿宋" w:eastAsia="仿宋"/>
          <w:sz w:val="32"/>
          <w:szCs w:val="32"/>
        </w:rPr>
        <w:t>（7）承担完成省（部）级以上重点科研、成果推广项目或技术支撑项目一项以上，并通过省（部）级验收（鉴定）；</w:t>
      </w:r>
    </w:p>
    <w:p w14:paraId="3C456A62">
      <w:pPr>
        <w:ind w:firstLine="640" w:firstLineChars="200"/>
        <w:rPr>
          <w:rFonts w:ascii="仿宋" w:hAnsi="仿宋" w:eastAsia="仿宋"/>
          <w:sz w:val="32"/>
          <w:szCs w:val="32"/>
        </w:rPr>
      </w:pPr>
      <w:r>
        <w:rPr>
          <w:rFonts w:hint="eastAsia" w:ascii="仿宋" w:hAnsi="仿宋" w:eastAsia="仿宋"/>
          <w:sz w:val="32"/>
          <w:szCs w:val="32"/>
        </w:rPr>
        <w:t>（8）参与研制开发新产品（品种、良种）、新材料、新技术、新工艺一项以上（以立项、验收、鉴定、认证报告、审定证书、公告为准），并已投入生产应用，取得明显经济、社会效益。</w:t>
      </w:r>
    </w:p>
    <w:p w14:paraId="0A8AFE53">
      <w:pPr>
        <w:ind w:firstLine="640" w:firstLineChars="200"/>
        <w:rPr>
          <w:rFonts w:ascii="仿宋" w:hAnsi="仿宋" w:eastAsia="仿宋"/>
          <w:sz w:val="32"/>
          <w:szCs w:val="32"/>
        </w:rPr>
      </w:pPr>
      <w:r>
        <w:rPr>
          <w:rFonts w:hint="eastAsia" w:ascii="仿宋" w:hAnsi="仿宋" w:eastAsia="仿宋"/>
          <w:sz w:val="32"/>
          <w:szCs w:val="32"/>
        </w:rPr>
        <w:t>“主要负责人”一般为项目课题第1名；“主要技术骨干”指，省（部）级项目课题第2-8名，市（厅）级或大型企业项目课题第2-6名，县级项目课题第2-3名。“以上”均含本级或本数。“主要发明人”指专利证书上记载的发明人，国家发明专利前10名，实用新型专利前8名。</w:t>
      </w:r>
    </w:p>
    <w:p w14:paraId="5DF28638">
      <w:pPr>
        <w:ind w:firstLine="640" w:firstLineChars="200"/>
        <w:rPr>
          <w:rFonts w:ascii="仿宋" w:hAnsi="仿宋" w:eastAsia="仿宋"/>
          <w:sz w:val="32"/>
          <w:szCs w:val="32"/>
        </w:rPr>
      </w:pPr>
      <w:r>
        <w:rPr>
          <w:rFonts w:hint="eastAsia" w:ascii="仿宋" w:hAnsi="仿宋" w:eastAsia="仿宋"/>
          <w:sz w:val="32"/>
          <w:szCs w:val="32"/>
        </w:rPr>
        <w:t>2、助理工程师，须提供参与完成的业绩成果资料。</w:t>
      </w:r>
    </w:p>
    <w:p w14:paraId="65DD3AD6">
      <w:pPr>
        <w:ind w:firstLine="640" w:firstLineChars="200"/>
        <w:rPr>
          <w:rFonts w:ascii="仿宋" w:hAnsi="仿宋" w:eastAsia="仿宋"/>
          <w:sz w:val="32"/>
          <w:szCs w:val="32"/>
        </w:rPr>
      </w:pPr>
      <w:r>
        <w:rPr>
          <w:rFonts w:hint="eastAsia" w:ascii="仿宋" w:hAnsi="仿宋" w:eastAsia="仿宋"/>
          <w:sz w:val="32"/>
          <w:szCs w:val="32"/>
        </w:rPr>
        <w:t>同一科研项目、课题或工程技术项目多次获奖，只能作为一项业绩成果申报，不能重复使用。</w:t>
      </w:r>
    </w:p>
    <w:p w14:paraId="26F026D2">
      <w:pPr>
        <w:pStyle w:val="2"/>
        <w:ind w:firstLine="640" w:firstLineChars="200"/>
        <w:jc w:val="both"/>
        <w:rPr>
          <w:rFonts w:ascii="黑体" w:hAnsi="黑体" w:eastAsia="黑体" w:cs="黑体"/>
          <w:sz w:val="32"/>
          <w:szCs w:val="32"/>
        </w:rPr>
      </w:pPr>
      <w:r>
        <w:rPr>
          <w:rFonts w:hint="eastAsia" w:ascii="黑体" w:hAnsi="黑体" w:eastAsia="黑体" w:cs="黑体"/>
          <w:sz w:val="32"/>
          <w:szCs w:val="32"/>
        </w:rPr>
        <w:t>四、学术技术条件</w:t>
      </w:r>
    </w:p>
    <w:p w14:paraId="703237DE">
      <w:pPr>
        <w:ind w:firstLine="640" w:firstLineChars="200"/>
        <w:rPr>
          <w:rFonts w:ascii="仿宋" w:hAnsi="仿宋" w:eastAsia="仿宋"/>
          <w:sz w:val="32"/>
          <w:szCs w:val="32"/>
        </w:rPr>
      </w:pPr>
      <w:r>
        <w:rPr>
          <w:rFonts w:hint="eastAsia" w:ascii="仿宋" w:hAnsi="仿宋" w:eastAsia="仿宋"/>
          <w:sz w:val="32"/>
          <w:szCs w:val="32"/>
        </w:rPr>
        <w:t>1、申报工程师，须在任助理工程师期间，公开发表本专业学术论文或撰写有较高价值的专业技术报告，符合下列条件之一：</w:t>
      </w:r>
    </w:p>
    <w:p w14:paraId="2A1052B4">
      <w:pPr>
        <w:ind w:firstLine="640" w:firstLineChars="200"/>
        <w:rPr>
          <w:rFonts w:ascii="仿宋" w:hAnsi="仿宋" w:eastAsia="仿宋"/>
          <w:sz w:val="32"/>
          <w:szCs w:val="32"/>
        </w:rPr>
      </w:pPr>
      <w:r>
        <w:rPr>
          <w:rFonts w:hint="eastAsia" w:ascii="汉仪书宋二S" w:hAnsi="汉仪书宋二S" w:eastAsia="汉仪书宋二S" w:cs="汉仪书宋二S"/>
          <w:sz w:val="32"/>
          <w:szCs w:val="32"/>
        </w:rPr>
        <w:t>①</w:t>
      </w:r>
      <w:r>
        <w:rPr>
          <w:rFonts w:hint="eastAsia" w:ascii="仿宋" w:hAnsi="仿宋" w:eastAsia="仿宋"/>
          <w:sz w:val="32"/>
          <w:szCs w:val="32"/>
        </w:rPr>
        <w:t>在省级以上正规出版发行的专业期刊上独立或以排名第一的资格合作完成2000字以上的学术论文一篇，且所发表专业论文内容须与本人现从事专业一致。所提交的论文，须提供万方数据资源系统、重庆维普中文科技期刊数据库、清华同方中国知网之一的检索页（论文刊用通知、用稿清样等不作为发表论文的依据），并加盖本单位公章；</w:t>
      </w:r>
    </w:p>
    <w:p w14:paraId="0167629A">
      <w:pPr>
        <w:ind w:firstLine="640" w:firstLineChars="200"/>
        <w:rPr>
          <w:rFonts w:ascii="仿宋" w:hAnsi="仿宋" w:eastAsia="仿宋"/>
          <w:sz w:val="32"/>
          <w:szCs w:val="32"/>
        </w:rPr>
      </w:pPr>
      <w:r>
        <w:rPr>
          <w:rFonts w:hint="eastAsia" w:ascii="汉仪书宋二S" w:hAnsi="汉仪书宋二S" w:eastAsia="汉仪书宋二S" w:cs="汉仪书宋二S"/>
          <w:sz w:val="32"/>
          <w:szCs w:val="32"/>
        </w:rPr>
        <w:t>②</w:t>
      </w:r>
      <w:r>
        <w:rPr>
          <w:rFonts w:hint="eastAsia" w:ascii="仿宋" w:hAnsi="仿宋" w:eastAsia="仿宋"/>
          <w:sz w:val="32"/>
          <w:szCs w:val="32"/>
        </w:rPr>
        <w:t>专业技术报告是指作为主要负责人或主要技术骨干完成的市（厅）级及以上科研成果、标准、规程、专利（国家发明专利、实用新型专利）工法的理论研究，市（厅）级及以上工程项目可行性研究报告、专题性方案（含施工类的施工组织方案）、实施项目的技术总结等。提交的专业技术报告须全部以论文格式撰写，要求具有技术论述、技术提炼、数据齐全、准确，文字通顺，结论正确，字数控制在2000-3000字内。</w:t>
      </w:r>
    </w:p>
    <w:p w14:paraId="0D56275C">
      <w:pPr>
        <w:ind w:firstLine="640" w:firstLineChars="200"/>
        <w:rPr>
          <w:rFonts w:ascii="仿宋" w:hAnsi="仿宋" w:eastAsia="仿宋"/>
          <w:sz w:val="32"/>
          <w:szCs w:val="32"/>
        </w:rPr>
      </w:pPr>
      <w:r>
        <w:rPr>
          <w:rFonts w:hint="eastAsia" w:ascii="仿宋" w:hAnsi="仿宋" w:eastAsia="仿宋"/>
          <w:sz w:val="32"/>
          <w:szCs w:val="32"/>
        </w:rPr>
        <w:t>申报人员须提交一篇学术论文或专业技术报告作为答辩材料，答辩材料必须是申报人独立撰写或以第一作者完成的，必须为具体科研、技术项目内容的文章，字数控制在2000-3000字内。</w:t>
      </w:r>
    </w:p>
    <w:p w14:paraId="353CAB65">
      <w:pPr>
        <w:pStyle w:val="2"/>
        <w:ind w:firstLine="640" w:firstLineChars="200"/>
        <w:jc w:val="both"/>
        <w:rPr>
          <w:rFonts w:ascii="仿宋" w:hAnsi="仿宋" w:eastAsia="仿宋" w:cs="方正小标宋简体"/>
          <w:b/>
          <w:bCs/>
          <w:sz w:val="32"/>
          <w:szCs w:val="32"/>
        </w:rPr>
      </w:pPr>
      <w:r>
        <w:rPr>
          <w:rFonts w:hint="eastAsia" w:ascii="仿宋" w:hAnsi="仿宋" w:eastAsia="仿宋"/>
          <w:sz w:val="32"/>
          <w:szCs w:val="32"/>
        </w:rPr>
        <w:t>2、申报助理工程师，</w:t>
      </w:r>
      <w:r>
        <w:rPr>
          <w:rFonts w:hint="eastAsia" w:ascii="仿宋" w:hAnsi="仿宋" w:eastAsia="仿宋" w:cstheme="minorEastAsia"/>
          <w:sz w:val="32"/>
          <w:szCs w:val="32"/>
        </w:rPr>
        <w:t>须提交1篇专业技术报告。提交的专业技术报告须以论文格式撰写，要求具有技术阐述、技术提炼、数据齐全、准确，文字通顺，结论正确，字数控制在2000字内。</w:t>
      </w:r>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汉仪书宋二S">
    <w:altName w:val="宋体"/>
    <w:panose1 w:val="00000000000000000000"/>
    <w:charset w:val="00"/>
    <w:family w:val="auto"/>
    <w:pitch w:val="default"/>
    <w:sig w:usb0="00000000" w:usb1="00000000" w:usb2="00000000" w:usb3="00000000" w:csb0="00000000" w:csb1="00000000"/>
  </w:font>
  <w:font w:name="方正书宋_GBK">
    <w:altName w:val="微软雅黑"/>
    <w:panose1 w:val="02000000000000000000"/>
    <w:charset w:val="86"/>
    <w:family w:val="auto"/>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E8490C">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28F7FE9">
                          <w:pPr>
                            <w:pStyle w:val="4"/>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5</w:t>
                          </w:r>
                          <w:r>
                            <w:rPr>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228F7FE9">
                    <w:pPr>
                      <w:pStyle w:val="4"/>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5</w:t>
                    </w:r>
                    <w:r>
                      <w:rPr>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zNDA5N2VlOWJkNzc1MDEwMWVkYmU3YzdkZGE0MmQifQ=="/>
  </w:docVars>
  <w:rsids>
    <w:rsidRoot w:val="2EFC2849"/>
    <w:rsid w:val="00091EFB"/>
    <w:rsid w:val="002C643D"/>
    <w:rsid w:val="003670DD"/>
    <w:rsid w:val="00382133"/>
    <w:rsid w:val="00487893"/>
    <w:rsid w:val="008B2823"/>
    <w:rsid w:val="00B561ED"/>
    <w:rsid w:val="00ED2B06"/>
    <w:rsid w:val="00F8040C"/>
    <w:rsid w:val="01071E09"/>
    <w:rsid w:val="014452FA"/>
    <w:rsid w:val="01F33E77"/>
    <w:rsid w:val="03BE6311"/>
    <w:rsid w:val="040F7D42"/>
    <w:rsid w:val="06F54B4E"/>
    <w:rsid w:val="078E1545"/>
    <w:rsid w:val="0892789A"/>
    <w:rsid w:val="0AB17A25"/>
    <w:rsid w:val="0AF618DB"/>
    <w:rsid w:val="0B7F5E0A"/>
    <w:rsid w:val="0BD51E39"/>
    <w:rsid w:val="0DCD2DC7"/>
    <w:rsid w:val="0E3A7F74"/>
    <w:rsid w:val="0EBE1E7E"/>
    <w:rsid w:val="0EEE3CAD"/>
    <w:rsid w:val="0F704352"/>
    <w:rsid w:val="11A93B4C"/>
    <w:rsid w:val="11F33019"/>
    <w:rsid w:val="125E4936"/>
    <w:rsid w:val="12B6295D"/>
    <w:rsid w:val="12D20E80"/>
    <w:rsid w:val="13DD4038"/>
    <w:rsid w:val="148E0DD7"/>
    <w:rsid w:val="151E215B"/>
    <w:rsid w:val="15BF56EC"/>
    <w:rsid w:val="168A58C0"/>
    <w:rsid w:val="16DF13F8"/>
    <w:rsid w:val="178B7795"/>
    <w:rsid w:val="1804388A"/>
    <w:rsid w:val="18185587"/>
    <w:rsid w:val="18754787"/>
    <w:rsid w:val="197D3378"/>
    <w:rsid w:val="19D454DE"/>
    <w:rsid w:val="1A0A20D5"/>
    <w:rsid w:val="1AAD645B"/>
    <w:rsid w:val="1AEE25CF"/>
    <w:rsid w:val="1D6372A4"/>
    <w:rsid w:val="20D36CE0"/>
    <w:rsid w:val="216E5E94"/>
    <w:rsid w:val="219F2875"/>
    <w:rsid w:val="222D1C2F"/>
    <w:rsid w:val="224F24BC"/>
    <w:rsid w:val="22E22A19"/>
    <w:rsid w:val="23366EA7"/>
    <w:rsid w:val="233D5EA2"/>
    <w:rsid w:val="23B456FA"/>
    <w:rsid w:val="23EB357B"/>
    <w:rsid w:val="23FF5910"/>
    <w:rsid w:val="2423778D"/>
    <w:rsid w:val="2426102C"/>
    <w:rsid w:val="248C70E1"/>
    <w:rsid w:val="25A47476"/>
    <w:rsid w:val="25B368EF"/>
    <w:rsid w:val="277D71B5"/>
    <w:rsid w:val="27A97FAA"/>
    <w:rsid w:val="2822558E"/>
    <w:rsid w:val="285C6DCA"/>
    <w:rsid w:val="286B4D1B"/>
    <w:rsid w:val="2973300B"/>
    <w:rsid w:val="2B712262"/>
    <w:rsid w:val="2BE12049"/>
    <w:rsid w:val="2C0B1233"/>
    <w:rsid w:val="2CA4632A"/>
    <w:rsid w:val="2D9275CC"/>
    <w:rsid w:val="2EFC2849"/>
    <w:rsid w:val="2F0E2E7B"/>
    <w:rsid w:val="2F6D34F6"/>
    <w:rsid w:val="2FD30DF1"/>
    <w:rsid w:val="304944EE"/>
    <w:rsid w:val="31E06CBE"/>
    <w:rsid w:val="329A50BF"/>
    <w:rsid w:val="32C44393"/>
    <w:rsid w:val="32F260C1"/>
    <w:rsid w:val="331876B9"/>
    <w:rsid w:val="33264BA4"/>
    <w:rsid w:val="334F6FAF"/>
    <w:rsid w:val="33704071"/>
    <w:rsid w:val="34337579"/>
    <w:rsid w:val="345159B3"/>
    <w:rsid w:val="35571045"/>
    <w:rsid w:val="366E2AEA"/>
    <w:rsid w:val="38850A21"/>
    <w:rsid w:val="38CF4790"/>
    <w:rsid w:val="38D22488"/>
    <w:rsid w:val="3A7E52C6"/>
    <w:rsid w:val="3ADD6940"/>
    <w:rsid w:val="3BA40D5C"/>
    <w:rsid w:val="3BF13876"/>
    <w:rsid w:val="3C792F90"/>
    <w:rsid w:val="3CC1453A"/>
    <w:rsid w:val="3CCD7E3F"/>
    <w:rsid w:val="3DE10046"/>
    <w:rsid w:val="3E9B4698"/>
    <w:rsid w:val="3FF1367F"/>
    <w:rsid w:val="3FF954DB"/>
    <w:rsid w:val="3FFE9925"/>
    <w:rsid w:val="423050F8"/>
    <w:rsid w:val="42F3241F"/>
    <w:rsid w:val="43B92ECB"/>
    <w:rsid w:val="44397FCE"/>
    <w:rsid w:val="452370FA"/>
    <w:rsid w:val="45303661"/>
    <w:rsid w:val="46780E1B"/>
    <w:rsid w:val="46845629"/>
    <w:rsid w:val="46AE6F33"/>
    <w:rsid w:val="47797541"/>
    <w:rsid w:val="47E30E5E"/>
    <w:rsid w:val="48A00AFD"/>
    <w:rsid w:val="492F3288"/>
    <w:rsid w:val="494254CB"/>
    <w:rsid w:val="4982318A"/>
    <w:rsid w:val="49956188"/>
    <w:rsid w:val="4AB64608"/>
    <w:rsid w:val="4B3043BA"/>
    <w:rsid w:val="4BCE14DD"/>
    <w:rsid w:val="4C4D2D4A"/>
    <w:rsid w:val="4CD945DE"/>
    <w:rsid w:val="4CEC2563"/>
    <w:rsid w:val="4F870321"/>
    <w:rsid w:val="4FCD667C"/>
    <w:rsid w:val="4FF05EC6"/>
    <w:rsid w:val="5128323B"/>
    <w:rsid w:val="51890380"/>
    <w:rsid w:val="52A15B9E"/>
    <w:rsid w:val="52B94C95"/>
    <w:rsid w:val="534C0925"/>
    <w:rsid w:val="54BFEB52"/>
    <w:rsid w:val="550C0C29"/>
    <w:rsid w:val="567C04B4"/>
    <w:rsid w:val="586D09FC"/>
    <w:rsid w:val="5875165E"/>
    <w:rsid w:val="58FC58DC"/>
    <w:rsid w:val="5C384E7D"/>
    <w:rsid w:val="5D042FB1"/>
    <w:rsid w:val="5D793C8C"/>
    <w:rsid w:val="5F487ACD"/>
    <w:rsid w:val="60FF240D"/>
    <w:rsid w:val="61840B64"/>
    <w:rsid w:val="63071A4D"/>
    <w:rsid w:val="633C45CA"/>
    <w:rsid w:val="635D341B"/>
    <w:rsid w:val="65181CEF"/>
    <w:rsid w:val="653A1C66"/>
    <w:rsid w:val="65652A5B"/>
    <w:rsid w:val="66037DBF"/>
    <w:rsid w:val="669B0026"/>
    <w:rsid w:val="66AF3F8D"/>
    <w:rsid w:val="66F12F77"/>
    <w:rsid w:val="677156E7"/>
    <w:rsid w:val="680B5B3B"/>
    <w:rsid w:val="68352BB8"/>
    <w:rsid w:val="68C87E68"/>
    <w:rsid w:val="699658D9"/>
    <w:rsid w:val="69C97A5C"/>
    <w:rsid w:val="6A793230"/>
    <w:rsid w:val="6BF56C52"/>
    <w:rsid w:val="6EE175F6"/>
    <w:rsid w:val="6F1F24C5"/>
    <w:rsid w:val="6FA81AB8"/>
    <w:rsid w:val="6FC14D32"/>
    <w:rsid w:val="70F96E79"/>
    <w:rsid w:val="712D5F08"/>
    <w:rsid w:val="72677E12"/>
    <w:rsid w:val="72F7C1CF"/>
    <w:rsid w:val="748D6BAE"/>
    <w:rsid w:val="74FE7E94"/>
    <w:rsid w:val="75C5557C"/>
    <w:rsid w:val="75EE09D6"/>
    <w:rsid w:val="75EF532C"/>
    <w:rsid w:val="76261D92"/>
    <w:rsid w:val="76A038F3"/>
    <w:rsid w:val="76DE441B"/>
    <w:rsid w:val="771F6F0D"/>
    <w:rsid w:val="775E7C9F"/>
    <w:rsid w:val="77664B3C"/>
    <w:rsid w:val="78177BE5"/>
    <w:rsid w:val="792F2F0D"/>
    <w:rsid w:val="7A342CD0"/>
    <w:rsid w:val="7A344A7E"/>
    <w:rsid w:val="7AB82530"/>
    <w:rsid w:val="7B0703E4"/>
    <w:rsid w:val="7B2044DE"/>
    <w:rsid w:val="7B672C31"/>
    <w:rsid w:val="7BA2010D"/>
    <w:rsid w:val="7BAD1FE4"/>
    <w:rsid w:val="7BFF833C"/>
    <w:rsid w:val="7C855A65"/>
    <w:rsid w:val="7C9A0DE4"/>
    <w:rsid w:val="7CD75B94"/>
    <w:rsid w:val="7E132BFC"/>
    <w:rsid w:val="7F442118"/>
    <w:rsid w:val="7FEEBE13"/>
    <w:rsid w:val="7FFF6C32"/>
    <w:rsid w:val="8FE7E9C8"/>
    <w:rsid w:val="96FBFE43"/>
    <w:rsid w:val="9F77AE7E"/>
    <w:rsid w:val="BDF774EF"/>
    <w:rsid w:val="BF8D928A"/>
    <w:rsid w:val="CBD1A91E"/>
    <w:rsid w:val="DFF4E1BA"/>
    <w:rsid w:val="DFFFD6D5"/>
    <w:rsid w:val="E1EADE8E"/>
    <w:rsid w:val="F7F477CE"/>
    <w:rsid w:val="FB7EAC1D"/>
    <w:rsid w:val="FBEFD4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99" w:semiHidden="0" w:name="heading 1"/>
    <w:lsdException w:uiPriority="99" w:name="heading 2"/>
    <w:lsdException w:uiPriority="99"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nhideWhenUsed="0" w:uiPriority="99" w:semiHidden="0" w:name="index 1"/>
    <w:lsdException w:unhideWhenUsed="0" w:uiPriority="99" w:semiHidden="0" w:name="index 2"/>
    <w:lsdException w:unhideWhenUsed="0" w:uiPriority="99" w:semiHidden="0" w:name="index 3"/>
    <w:lsdException w:unhideWhenUsed="0" w:uiPriority="99" w:semiHidden="0" w:name="index 4"/>
    <w:lsdException w:unhideWhenUsed="0" w:uiPriority="99" w:semiHidden="0" w:name="index 5"/>
    <w:lsdException w:unhideWhenUsed="0" w:uiPriority="99" w:semiHidden="0" w:name="index 6"/>
    <w:lsdException w:unhideWhenUsed="0" w:uiPriority="99" w:semiHidden="0" w:name="index 7"/>
    <w:lsdException w:unhideWhenUsed="0" w:uiPriority="99" w:semiHidden="0" w:name="index 8"/>
    <w:lsdException w:unhideWhenUsed="0" w:uiPriority="99" w:semiHidden="0" w:name="index 9"/>
    <w:lsdException w:unhideWhenUsed="0" w:uiPriority="99" w:semiHidden="0" w:name="toc 1"/>
    <w:lsdException w:unhideWhenUsed="0" w:uiPriority="99" w:semiHidden="0" w:name="toc 2"/>
    <w:lsdException w:qFormat="1" w:unhideWhenUsed="0" w:uiPriority="0" w:semiHidden="0" w:name="toc 3"/>
    <w:lsdException w:unhideWhenUsed="0" w:uiPriority="99" w:semiHidden="0" w:name="toc 4"/>
    <w:lsdException w:unhideWhenUsed="0" w:uiPriority="99" w:semiHidden="0" w:name="toc 5"/>
    <w:lsdException w:unhideWhenUsed="0" w:uiPriority="99" w:semiHidden="0" w:name="toc 6"/>
    <w:lsdException w:unhideWhenUsed="0" w:uiPriority="99" w:semiHidden="0" w:name="toc 7"/>
    <w:lsdException w:unhideWhenUsed="0" w:uiPriority="99" w:semiHidden="0" w:name="toc 8"/>
    <w:lsdException w:unhideWhenUsed="0" w:uiPriority="99" w:semiHidden="0" w:name="toc 9"/>
    <w:lsdException w:unhideWhenUsed="0" w:uiPriority="99" w:semiHidden="0" w:name="Normal Indent"/>
    <w:lsdException w:unhideWhenUsed="0" w:uiPriority="99" w:semiHidden="0" w:name="footnote text"/>
    <w:lsdException w:unhideWhenUsed="0" w:uiPriority="99" w:semiHidden="0" w:name="annotation text"/>
    <w:lsdException w:qFormat="1" w:unhideWhenUsed="0" w:uiPriority="0" w:semiHidden="0" w:name="header"/>
    <w:lsdException w:qFormat="1" w:unhideWhenUsed="0" w:uiPriority="99" w:semiHidden="0" w:name="footer"/>
    <w:lsdException w:unhideWhenUsed="0" w:uiPriority="99" w:semiHidden="0" w:name="index heading"/>
    <w:lsdException w:uiPriority="99" w:name="caption"/>
    <w:lsdException w:unhideWhenUsed="0" w:uiPriority="99" w:semiHidden="0" w:name="table of figures"/>
    <w:lsdException w:unhideWhenUsed="0" w:uiPriority="99" w:semiHidden="0" w:name="envelope address"/>
    <w:lsdException w:unhideWhenUsed="0" w:uiPriority="99" w:semiHidden="0" w:name="envelope return"/>
    <w:lsdException w:unhideWhenUsed="0" w:uiPriority="99" w:semiHidden="0" w:name="footnote reference"/>
    <w:lsdException w:unhideWhenUsed="0" w:uiPriority="99" w:semiHidden="0" w:name="annotation reference"/>
    <w:lsdException w:unhideWhenUsed="0" w:uiPriority="99" w:semiHidden="0" w:name="line number"/>
    <w:lsdException w:unhideWhenUsed="0" w:uiPriority="99" w:semiHidden="0" w:name="page number"/>
    <w:lsdException w:unhideWhenUsed="0" w:uiPriority="99" w:semiHidden="0" w:name="endnote reference"/>
    <w:lsdException w:unhideWhenUsed="0" w:uiPriority="99" w:semiHidden="0" w:name="endnote text"/>
    <w:lsdException w:unhideWhenUsed="0" w:uiPriority="99" w:semiHidden="0" w:name="table of authorities"/>
    <w:lsdException w:unhideWhenUsed="0" w:uiPriority="99" w:semiHidden="0" w:name="macro"/>
    <w:lsdException w:unhideWhenUsed="0" w:uiPriority="99" w:semiHidden="0" w:name="toa heading"/>
    <w:lsdException w:unhideWhenUsed="0" w:uiPriority="99" w:semiHidden="0" w:name="List"/>
    <w:lsdException w:unhideWhenUsed="0" w:uiPriority="99" w:semiHidden="0" w:name="List Bullet"/>
    <w:lsdException w:unhideWhenUsed="0" w:uiPriority="99" w:semiHidden="0" w:name="List Number"/>
    <w:lsdException w:unhideWhenUsed="0" w:uiPriority="99" w:semiHidden="0" w:name="List 2"/>
    <w:lsdException w:unhideWhenUsed="0" w:uiPriority="99" w:semiHidden="0" w:name="List 3"/>
    <w:lsdException w:unhideWhenUsed="0" w:uiPriority="99" w:semiHidden="0" w:name="List 4"/>
    <w:lsdException w:unhideWhenUsed="0" w:uiPriority="99" w:semiHidden="0"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unhideWhenUsed="0" w:uiPriority="99" w:semiHidden="0" w:name="Title"/>
    <w:lsdException w:unhideWhenUsed="0" w:uiPriority="99" w:semiHidden="0" w:name="Closing"/>
    <w:lsdException w:unhideWhenUsed="0" w:uiPriority="99" w:semiHidden="0" w:name="Signature"/>
    <w:lsdException w:qFormat="1" w:uiPriority="1" w:name="Default Paragraph Font"/>
    <w:lsdException w:qFormat="1" w:unhideWhenUsed="0" w:uiPriority="0" w:semiHidden="0" w:name="Body Text"/>
    <w:lsdException w:unhideWhenUsed="0" w:uiPriority="99" w:semiHidden="0" w:name="Body Text Indent"/>
    <w:lsdException w:unhideWhenUsed="0" w:uiPriority="99" w:semiHidden="0" w:name="List Continue"/>
    <w:lsdException w:unhideWhenUsed="0" w:uiPriority="99" w:semiHidden="0" w:name="List Continue 2"/>
    <w:lsdException w:unhideWhenUsed="0" w:uiPriority="99" w:semiHidden="0" w:name="List Continue 3"/>
    <w:lsdException w:unhideWhenUsed="0" w:uiPriority="99" w:semiHidden="0" w:name="List Continue 4"/>
    <w:lsdException w:unhideWhenUsed="0" w:uiPriority="99" w:semiHidden="0" w:name="List Continue 5"/>
    <w:lsdException w:unhideWhenUsed="0" w:uiPriority="99" w:semiHidden="0" w:name="Message Header"/>
    <w:lsdException w:unhideWhenUsed="0" w:uiPriority="99" w:semiHidden="0" w:name="Subtitle"/>
    <w:lsdException w:unhideWhenUsed="0" w:uiPriority="99" w:semiHidden="0" w:name="Salutation"/>
    <w:lsdException w:unhideWhenUsed="0" w:uiPriority="99" w:semiHidden="0" w:name="Date"/>
    <w:lsdException w:unhideWhenUsed="0" w:uiPriority="99" w:semiHidden="0" w:name="Body Text First Indent"/>
    <w:lsdException w:unhideWhenUsed="0" w:uiPriority="99" w:semiHidden="0" w:name="Body Text First Indent 2"/>
    <w:lsdException w:unhideWhenUsed="0" w:uiPriority="99" w:semiHidden="0" w:name="Note Heading"/>
    <w:lsdException w:unhideWhenUsed="0" w:uiPriority="99" w:semiHidden="0" w:name="Body Text 2"/>
    <w:lsdException w:unhideWhenUsed="0" w:uiPriority="99" w:semiHidden="0" w:name="Body Text 3"/>
    <w:lsdException w:unhideWhenUsed="0" w:uiPriority="99" w:semiHidden="0" w:name="Body Text Indent 2"/>
    <w:lsdException w:unhideWhenUsed="0" w:uiPriority="99" w:semiHidden="0" w:name="Body Text Indent 3"/>
    <w:lsdException w:unhideWhenUsed="0" w:uiPriority="99" w:semiHidden="0" w:name="Block Text"/>
    <w:lsdException w:qFormat="1" w:unhideWhenUsed="0" w:uiPriority="0" w:semiHidden="0" w:name="Hyperlink"/>
    <w:lsdException w:unhideWhenUsed="0" w:uiPriority="99" w:semiHidden="0" w:name="FollowedHyperlink"/>
    <w:lsdException w:unhideWhenUsed="0" w:uiPriority="99" w:semiHidden="0" w:name="Strong"/>
    <w:lsdException w:unhideWhenUsed="0" w:uiPriority="99" w:semiHidden="0" w:name="Emphasis"/>
    <w:lsdException w:unhideWhenUsed="0" w:uiPriority="99" w:semiHidden="0" w:name="Document Map"/>
    <w:lsdException w:unhideWhenUsed="0" w:uiPriority="99" w:semiHidden="0" w:name="Plain Text"/>
    <w:lsdException w:unhideWhenUsed="0" w:uiPriority="99" w:semiHidden="0" w:name="E-mail Signature"/>
    <w:lsdException w:qFormat="1" w:unhideWhenUsed="0" w:uiPriority="0"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qFormat="1"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qFormat="1" w:uiPriority="99" w:name="Normal Table"/>
    <w:lsdException w:unhideWhenUsed="0" w:uiPriority="99" w:semiHidden="0" w:name="annotation subject"/>
    <w:lsdException w:unhideWhenUsed="0" w:uiPriority="99" w:semiHidden="0" w:name="Table Simple 1"/>
    <w:lsdException w:unhideWhenUsed="0" w:uiPriority="99" w:semiHidden="0" w:name="Table Simple 2"/>
    <w:lsdException w:unhideWhenUsed="0" w:uiPriority="99" w:semiHidden="0" w:name="Table Simple 3"/>
    <w:lsdException w:unhideWhenUsed="0" w:uiPriority="99" w:semiHidden="0" w:name="Table Classic 1"/>
    <w:lsdException w:unhideWhenUsed="0" w:uiPriority="99" w:semiHidden="0" w:name="Table Classic 2"/>
    <w:lsdException w:unhideWhenUsed="0" w:uiPriority="99" w:semiHidden="0" w:name="Table Classic 3"/>
    <w:lsdException w:unhideWhenUsed="0" w:uiPriority="99" w:semiHidden="0" w:name="Table Classic 4"/>
    <w:lsdException w:unhideWhenUsed="0" w:uiPriority="99" w:semiHidden="0" w:name="Table Colorful 1"/>
    <w:lsdException w:unhideWhenUsed="0" w:uiPriority="99" w:semiHidden="0" w:name="Table Colorful 2"/>
    <w:lsdException w:unhideWhenUsed="0" w:uiPriority="99" w:semiHidden="0" w:name="Table Colorful 3"/>
    <w:lsdException w:unhideWhenUsed="0" w:uiPriority="99" w:semiHidden="0" w:name="Table Columns 1"/>
    <w:lsdException w:unhideWhenUsed="0" w:uiPriority="99" w:semiHidden="0" w:name="Table Columns 2"/>
    <w:lsdException w:unhideWhenUsed="0" w:uiPriority="99" w:semiHidden="0" w:name="Table Columns 3"/>
    <w:lsdException w:unhideWhenUsed="0" w:uiPriority="99" w:semiHidden="0" w:name="Table Columns 4"/>
    <w:lsdException w:unhideWhenUsed="0" w:uiPriority="99" w:semiHidden="0" w:name="Table Columns 5"/>
    <w:lsdException w:unhideWhenUsed="0" w:uiPriority="99" w:semiHidden="0" w:name="Table Grid 1"/>
    <w:lsdException w:unhideWhenUsed="0" w:uiPriority="99" w:semiHidden="0" w:name="Table Grid 2"/>
    <w:lsdException w:unhideWhenUsed="0" w:uiPriority="99" w:semiHidden="0" w:name="Table Grid 3"/>
    <w:lsdException w:unhideWhenUsed="0" w:uiPriority="99" w:semiHidden="0" w:name="Table Grid 4"/>
    <w:lsdException w:unhideWhenUsed="0" w:uiPriority="99" w:semiHidden="0" w:name="Table Grid 5"/>
    <w:lsdException w:unhideWhenUsed="0" w:uiPriority="99" w:semiHidden="0" w:name="Table Grid 6"/>
    <w:lsdException w:unhideWhenUsed="0" w:uiPriority="99" w:semiHidden="0" w:name="Table Grid 7"/>
    <w:lsdException w:unhideWhenUsed="0" w:uiPriority="99" w:semiHidden="0" w:name="Table Grid 8"/>
    <w:lsdException w:unhideWhenUsed="0" w:uiPriority="99" w:semiHidden="0" w:name="Table List 1"/>
    <w:lsdException w:unhideWhenUsed="0" w:uiPriority="99" w:semiHidden="0" w:name="Table List 2"/>
    <w:lsdException w:unhideWhenUsed="0" w:uiPriority="99" w:semiHidden="0" w:name="Table List 3"/>
    <w:lsdException w:unhideWhenUsed="0" w:uiPriority="99" w:semiHidden="0" w:name="Table List 4"/>
    <w:lsdException w:unhideWhenUsed="0" w:uiPriority="99" w:semiHidden="0" w:name="Table List 5"/>
    <w:lsdException w:unhideWhenUsed="0" w:uiPriority="99" w:semiHidden="0" w:name="Table List 6"/>
    <w:lsdException w:unhideWhenUsed="0" w:uiPriority="99" w:semiHidden="0" w:name="Table List 7"/>
    <w:lsdException w:unhideWhenUsed="0" w:uiPriority="99" w:semiHidden="0" w:name="Table List 8"/>
    <w:lsdException w:unhideWhenUsed="0" w:uiPriority="99" w:semiHidden="0" w:name="Table 3D effects 1"/>
    <w:lsdException w:unhideWhenUsed="0" w:uiPriority="99" w:semiHidden="0" w:name="Table 3D effects 2"/>
    <w:lsdException w:unhideWhenUsed="0" w:uiPriority="99" w:semiHidden="0" w:name="Table 3D effects 3"/>
    <w:lsdException w:unhideWhenUsed="0" w:uiPriority="99" w:semiHidden="0" w:name="Table Contemporary"/>
    <w:lsdException w:unhideWhenUsed="0" w:uiPriority="99" w:semiHidden="0" w:name="Table Elegant"/>
    <w:lsdException w:unhideWhenUsed="0" w:uiPriority="99" w:semiHidden="0" w:name="Table Professional"/>
    <w:lsdException w:unhideWhenUsed="0" w:uiPriority="99" w:semiHidden="0" w:name="Table Subtle 1"/>
    <w:lsdException w:unhideWhenUsed="0" w:uiPriority="99" w:semiHidden="0" w:name="Table Subtle 2"/>
    <w:lsdException w:unhideWhenUsed="0" w:uiPriority="99" w:semiHidden="0" w:name="Table Web 1"/>
    <w:lsdException w:unhideWhenUsed="0" w:uiPriority="99" w:semiHidden="0" w:name="Table Web 2"/>
    <w:lsdException w:unhideWhenUsed="0" w:uiPriority="99" w:semiHidden="0" w:name="Table Web 3"/>
    <w:lsdException w:unhideWhenUsed="0" w:uiPriority="99" w:semiHidden="0" w:name="Balloon Text"/>
    <w:lsdException w:unhideWhenUsed="0" w:uiPriority="9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jc w:val="center"/>
    </w:pPr>
    <w:rPr>
      <w:sz w:val="44"/>
    </w:rPr>
  </w:style>
  <w:style w:type="paragraph" w:styleId="3">
    <w:name w:val="toc 3"/>
    <w:basedOn w:val="1"/>
    <w:next w:val="1"/>
    <w:qFormat/>
    <w:uiPriority w:val="0"/>
    <w:pPr>
      <w:ind w:left="840" w:leftChars="400"/>
    </w:pPr>
  </w:style>
  <w:style w:type="paragraph" w:styleId="4">
    <w:name w:val="footer"/>
    <w:basedOn w:val="1"/>
    <w:qFormat/>
    <w:uiPriority w:val="99"/>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HTML Preformatted"/>
    <w:basedOn w:val="1"/>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7">
    <w:name w:val="Normal (Web)"/>
    <w:basedOn w:val="1"/>
    <w:qFormat/>
    <w:uiPriority w:val="0"/>
    <w:pPr>
      <w:spacing w:beforeAutospacing="1" w:afterAutospacing="1"/>
      <w:jc w:val="left"/>
    </w:pPr>
    <w:rPr>
      <w:rFonts w:cs="Times New Roman"/>
      <w:kern w:val="0"/>
      <w:sz w:val="24"/>
    </w:rPr>
  </w:style>
  <w:style w:type="character" w:styleId="10">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rotWithShape="0">
          <a:gsLst>
            <a:gs pos="0">
              <a:schemeClr val="phClr">
                <a:lumOff val="17500"/>
              </a:schemeClr>
            </a:gs>
            <a:gs pos="100000">
              <a:schemeClr val="phClr"/>
            </a:gs>
          </a:gsLst>
          <a:lin ang="2700000" scaled="0"/>
        </a:gradFill>
        <a:gradFill rotWithShape="0">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2539</Words>
  <Characters>2586</Characters>
  <Lines>18</Lines>
  <Paragraphs>5</Paragraphs>
  <TotalTime>9</TotalTime>
  <ScaleCrop>false</ScaleCrop>
  <LinksUpToDate>false</LinksUpToDate>
  <CharactersWithSpaces>2586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2026-07-29T19:55:00Z</dcterms:created>
  <dc:creator>纯属突然</dc:creator>
  <cp:lastModifiedBy>A.发型 乱了！！</cp:lastModifiedBy>
  <cp:lastPrinted>2026-07-18T03:09:00Z</cp:lastPrinted>
  <dcterms:modified xsi:type="dcterms:W3CDTF">2026-08-04T07:52:08Z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3281732D99E942C587AD036CF3045555_13</vt:lpwstr>
  </property>
  <property fmtid="{D5CDD505-2E9C-101B-9397-08002B2CF9AE}" pid="4" name="KSOTemplateDocerSaveRecord">
    <vt:lpwstr>eyJoZGlkIjoiYzdiNDViMWNiNjIzYjcyODI3ZTliODJiMmViOWYyMmUiLCJ1c2VySWQiOiI1NzQ3MzcxNDYifQ==</vt:lpwstr>
  </property>
</Properties>
</file>