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op w:val="single" w:color="FFFFFF" w:sz="8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劣Ⅴ类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Ⅰ类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Ⅰ类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13.33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全市总体水质轻度污染，主要污染指标为化学需氧量、氨氮、石油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类、总磷。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</wp:posOffset>
            </wp:positionH>
            <wp:positionV relativeFrom="page">
              <wp:posOffset>3004185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7B21A329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Sheet1!$A$6:$A$9</c:f>
              <c:strCache>
                <c:ptCount val="4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</c:strCache>
            </c:strRef>
          </c:cat>
          <c:val>
            <c:numRef>
              <c:f>Sheet1!$B$6:$B$9</c:f>
              <c:numCache>
                <c:formatCode>0.00%</c:formatCode>
                <c:ptCount val="4"/>
                <c:pt idx="0">
                  <c:v>0.8</c:v>
                </c:pt>
                <c:pt idx="1">
                  <c:v>0.1333</c:v>
                </c:pt>
                <c:pt idx="2">
                  <c:v>0</c:v>
                </c:pt>
                <c:pt idx="3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515</Words>
  <Characters>551</Characters>
  <Lines>3</Lines>
  <Paragraphs>1</Paragraphs>
  <TotalTime>4</TotalTime>
  <ScaleCrop>false</ScaleCrop>
  <LinksUpToDate>false</LinksUpToDate>
  <CharactersWithSpaces>553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2026-03-10T09:28:06Z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