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D6F5C1">
      <w:pPr>
        <w:snapToGrid w:val="0"/>
        <w:spacing w:line="360" w:lineRule="auto"/>
        <w:jc w:val="center"/>
        <w:rPr>
          <w:rFonts w:hint="eastAsia" w:ascii="方正小标宋简体" w:hAnsi="仿宋" w:eastAsia="方正小标宋简体" w:cs="方正仿宋简体"/>
          <w:color w:val="000000"/>
          <w:sz w:val="32"/>
          <w:szCs w:val="32"/>
        </w:rPr>
      </w:pPr>
      <w:r>
        <w:rPr>
          <w:rFonts w:hint="eastAsia" w:eastAsia="方正小标宋简体" w:cs="方正仿宋简体"/>
          <w:color w:val="000000"/>
          <w:sz w:val="32"/>
          <w:szCs w:val="32"/>
          <w:lang w:val="en-US" w:eastAsia="zh-CN"/>
        </w:rPr>
        <w:t>2026</w:t>
      </w:r>
      <w:r>
        <w:rPr>
          <w:rFonts w:hint="eastAsia" w:ascii="Times New Roman" w:hAnsi="Times New Roman" w:eastAsia="方正小标宋简体" w:cs="方正仿宋简体"/>
          <w:color w:val="000000"/>
          <w:sz w:val="32"/>
          <w:szCs w:val="32"/>
          <w:lang w:val="en-US" w:eastAsia="zh-CN"/>
        </w:rPr>
        <w:t>年大同</w:t>
      </w:r>
      <w:r>
        <w:rPr>
          <w:rFonts w:hint="eastAsia" w:eastAsia="方正小标宋简体" w:cs="方正仿宋简体"/>
          <w:color w:val="000000"/>
          <w:sz w:val="32"/>
          <w:szCs w:val="32"/>
          <w:lang w:eastAsia="zh-CN"/>
        </w:rPr>
        <w:t>市</w:t>
      </w:r>
      <w:r>
        <w:rPr>
          <w:rFonts w:hint="eastAsia" w:eastAsia="方正小标宋简体" w:cs="方正仿宋简体"/>
          <w:color w:val="000000"/>
          <w:sz w:val="32"/>
          <w:szCs w:val="32"/>
          <w:lang w:val="en-US" w:eastAsia="zh-CN"/>
        </w:rPr>
        <w:t>工业用甲醇</w:t>
      </w:r>
      <w:r>
        <w:rPr>
          <w:rFonts w:hint="eastAsia" w:eastAsia="方正小标宋简体" w:cs="方正仿宋简体"/>
          <w:color w:val="000000"/>
          <w:sz w:val="32"/>
          <w:szCs w:val="32"/>
        </w:rPr>
        <w:t>产</w:t>
      </w:r>
      <w:r>
        <w:rPr>
          <w:rFonts w:hint="eastAsia" w:ascii="Times New Roman" w:hAnsi="Times New Roman" w:eastAsia="方正小标宋简体" w:cs="方正仿宋简体"/>
          <w:color w:val="000000"/>
          <w:sz w:val="32"/>
          <w:szCs w:val="32"/>
        </w:rPr>
        <w:t>品质量监</w:t>
      </w:r>
      <w:r>
        <w:rPr>
          <w:rFonts w:hint="eastAsia" w:eastAsia="方正小标宋简体" w:cs="方正仿宋简体"/>
          <w:color w:val="000000"/>
          <w:sz w:val="32"/>
          <w:szCs w:val="32"/>
        </w:rPr>
        <w:t>督抽查实施细则</w:t>
      </w:r>
    </w:p>
    <w:p w14:paraId="549EC441">
      <w:pPr>
        <w:snapToGrid w:val="0"/>
        <w:spacing w:line="440" w:lineRule="exact"/>
        <w:rPr>
          <w:rFonts w:hint="eastAsia" w:ascii="黑体" w:hAnsi="宋体" w:eastAsia="黑体"/>
          <w:color w:val="000000"/>
          <w:szCs w:val="21"/>
        </w:rPr>
      </w:pPr>
      <w:r>
        <w:rPr>
          <w:rFonts w:hint="eastAsia" w:ascii="黑体" w:hAnsi="宋体" w:eastAsia="黑体"/>
          <w:color w:val="000000"/>
          <w:szCs w:val="21"/>
        </w:rPr>
        <w:t>1 抽样方法</w:t>
      </w:r>
    </w:p>
    <w:p w14:paraId="053714C9">
      <w:pPr>
        <w:keepNext w:val="0"/>
        <w:keepLines w:val="0"/>
        <w:pageBreakBefore w:val="0"/>
        <w:widowControl w:val="0"/>
        <w:kinsoku/>
        <w:wordWrap/>
        <w:overflowPunct/>
        <w:topLinePunct w:val="0"/>
        <w:autoSpaceDE/>
        <w:autoSpaceDN/>
        <w:bidi w:val="0"/>
        <w:snapToGrid w:val="0"/>
        <w:spacing w:line="44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以随机抽样的方式在被抽样生产者、销售者的待销产品中抽取。</w:t>
      </w:r>
    </w:p>
    <w:p w14:paraId="66D9149E">
      <w:pPr>
        <w:keepNext w:val="0"/>
        <w:keepLines w:val="0"/>
        <w:pageBreakBefore w:val="0"/>
        <w:widowControl w:val="0"/>
        <w:kinsoku/>
        <w:wordWrap/>
        <w:overflowPunct/>
        <w:topLinePunct w:val="0"/>
        <w:autoSpaceDE/>
        <w:autoSpaceDN/>
        <w:bidi w:val="0"/>
        <w:snapToGrid w:val="0"/>
        <w:spacing w:line="44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随机数一般可使用随机数表等方法产生。</w:t>
      </w:r>
    </w:p>
    <w:p w14:paraId="61E29E9E">
      <w:pPr>
        <w:snapToGrid w:val="0"/>
        <w:spacing w:line="440" w:lineRule="exact"/>
        <w:ind w:firstLine="420" w:firstLineChars="200"/>
        <w:rPr>
          <w:rFonts w:hint="eastAsia" w:ascii="宋体" w:hAnsi="宋体"/>
          <w:szCs w:val="21"/>
        </w:rPr>
      </w:pPr>
      <w:r>
        <w:rPr>
          <w:rFonts w:hint="eastAsia" w:ascii="宋体" w:hAnsi="宋体" w:eastAsia="宋体" w:cs="宋体"/>
          <w:color w:val="auto"/>
          <w:sz w:val="21"/>
          <w:szCs w:val="21"/>
          <w:highlight w:val="none"/>
          <w:lang w:eastAsia="zh-CN"/>
        </w:rPr>
        <w:t>每批次产品抽取样品</w:t>
      </w:r>
      <w:r>
        <w:rPr>
          <w:rFonts w:hint="eastAsia" w:ascii="宋体" w:hAnsi="宋体" w:cs="宋体"/>
          <w:color w:val="auto"/>
          <w:sz w:val="21"/>
          <w:szCs w:val="21"/>
          <w:highlight w:val="none"/>
          <w:vertAlign w:val="baseline"/>
          <w:lang w:val="en-US" w:eastAsia="zh-CN"/>
        </w:rPr>
        <w:t>2L</w:t>
      </w:r>
      <w:r>
        <w:rPr>
          <w:rFonts w:hint="eastAsia" w:ascii="宋体" w:hAnsi="宋体" w:eastAsia="宋体" w:cs="宋体"/>
          <w:color w:val="auto"/>
          <w:sz w:val="21"/>
          <w:szCs w:val="21"/>
          <w:highlight w:val="none"/>
          <w:lang w:eastAsia="zh-CN"/>
        </w:rPr>
        <w:t>，其中</w:t>
      </w:r>
      <w:r>
        <w:rPr>
          <w:rFonts w:hint="eastAsia" w:ascii="宋体" w:hAnsi="宋体" w:cs="宋体"/>
          <w:color w:val="auto"/>
          <w:sz w:val="21"/>
          <w:szCs w:val="21"/>
          <w:highlight w:val="none"/>
          <w:lang w:val="en-US" w:eastAsia="zh-CN"/>
        </w:rPr>
        <w:t>1L</w:t>
      </w:r>
      <w:r>
        <w:rPr>
          <w:rFonts w:hint="eastAsia" w:ascii="宋体" w:hAnsi="宋体" w:eastAsia="宋体" w:cs="宋体"/>
          <w:color w:val="auto"/>
          <w:sz w:val="21"/>
          <w:szCs w:val="21"/>
          <w:highlight w:val="none"/>
          <w:lang w:eastAsia="zh-CN"/>
        </w:rPr>
        <w:t>作为检验样品，</w:t>
      </w:r>
      <w:r>
        <w:rPr>
          <w:rFonts w:hint="eastAsia" w:ascii="宋体" w:hAnsi="宋体" w:cs="宋体"/>
          <w:color w:val="auto"/>
          <w:sz w:val="21"/>
          <w:szCs w:val="21"/>
          <w:highlight w:val="none"/>
          <w:lang w:val="en-US" w:eastAsia="zh-CN"/>
        </w:rPr>
        <w:t>1L</w:t>
      </w:r>
      <w:r>
        <w:rPr>
          <w:rFonts w:hint="eastAsia" w:ascii="宋体" w:hAnsi="宋体" w:eastAsia="宋体" w:cs="宋体"/>
          <w:color w:val="auto"/>
          <w:sz w:val="21"/>
          <w:szCs w:val="21"/>
          <w:highlight w:val="none"/>
          <w:lang w:eastAsia="zh-CN"/>
        </w:rPr>
        <w:t>作为备用样品</w:t>
      </w:r>
      <w:r>
        <w:rPr>
          <w:rFonts w:hint="eastAsia" w:ascii="宋体" w:hAnsi="宋体"/>
          <w:szCs w:val="21"/>
        </w:rPr>
        <w:t>。</w:t>
      </w:r>
      <w:r>
        <w:rPr>
          <w:rFonts w:hint="eastAsia" w:ascii="宋体" w:hAnsi="宋体" w:eastAsia="宋体" w:cs="宋体"/>
          <w:szCs w:val="21"/>
          <w:lang w:eastAsia="zh-CN"/>
        </w:rPr>
        <w:t>样品用干燥清洁</w:t>
      </w:r>
      <w:r>
        <w:rPr>
          <w:rFonts w:hint="eastAsia" w:ascii="宋体" w:hAnsi="宋体" w:eastAsia="宋体" w:cs="宋体"/>
          <w:color w:val="auto"/>
          <w:szCs w:val="21"/>
          <w:lang w:eastAsia="zh-CN"/>
        </w:rPr>
        <w:t>带磨口塞的玻璃瓶盛装。</w:t>
      </w:r>
    </w:p>
    <w:p w14:paraId="4DEBEC56">
      <w:pPr>
        <w:snapToGrid w:val="0"/>
        <w:spacing w:line="440" w:lineRule="exact"/>
        <w:rPr>
          <w:rFonts w:hint="eastAsia" w:ascii="黑体" w:hAnsi="宋体" w:eastAsia="黑体"/>
          <w:color w:val="000000"/>
          <w:szCs w:val="21"/>
        </w:rPr>
      </w:pPr>
      <w:r>
        <w:rPr>
          <w:rFonts w:hint="eastAsia" w:ascii="黑体" w:hAnsi="宋体" w:eastAsia="黑体"/>
          <w:color w:val="000000"/>
          <w:szCs w:val="21"/>
        </w:rPr>
        <w:t>2 检验依据</w:t>
      </w:r>
    </w:p>
    <w:p w14:paraId="6ED69062">
      <w:pPr>
        <w:snapToGrid w:val="0"/>
        <w:spacing w:line="44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表1 </w:t>
      </w:r>
      <w:r>
        <w:rPr>
          <w:rFonts w:hint="eastAsia" w:ascii="宋体" w:hAnsi="宋体" w:eastAsia="宋体" w:cs="宋体"/>
          <w:color w:val="000000"/>
          <w:sz w:val="21"/>
          <w:szCs w:val="21"/>
          <w:lang w:val="en-US" w:eastAsia="zh-CN"/>
        </w:rPr>
        <w:t>工业用甲醇（GB/T 338-2011）</w:t>
      </w:r>
      <w:r>
        <w:rPr>
          <w:rFonts w:hint="eastAsia" w:ascii="宋体" w:hAnsi="宋体" w:eastAsia="宋体" w:cs="宋体"/>
          <w:color w:val="000000"/>
          <w:sz w:val="21"/>
          <w:szCs w:val="21"/>
        </w:rPr>
        <w:t>检验项目</w:t>
      </w:r>
    </w:p>
    <w:tbl>
      <w:tblPr>
        <w:tblStyle w:val="9"/>
        <w:tblW w:w="486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2"/>
        <w:gridCol w:w="4164"/>
        <w:gridCol w:w="3671"/>
      </w:tblGrid>
      <w:tr w14:paraId="61D85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vAlign w:val="center"/>
          </w:tcPr>
          <w:p w14:paraId="2AB2EB0B">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序号</w:t>
            </w:r>
          </w:p>
        </w:tc>
        <w:tc>
          <w:tcPr>
            <w:tcW w:w="2391" w:type="pct"/>
            <w:vAlign w:val="center"/>
          </w:tcPr>
          <w:p w14:paraId="14820409">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检验项目</w:t>
            </w:r>
          </w:p>
        </w:tc>
        <w:tc>
          <w:tcPr>
            <w:tcW w:w="2107" w:type="pct"/>
            <w:vAlign w:val="center"/>
          </w:tcPr>
          <w:p w14:paraId="7EEB7DCD">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检验方法</w:t>
            </w:r>
          </w:p>
        </w:tc>
      </w:tr>
      <w:tr w14:paraId="38F09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vAlign w:val="center"/>
          </w:tcPr>
          <w:p w14:paraId="21EE64BC">
            <w:pPr>
              <w:snapToGrid w:val="0"/>
              <w:spacing w:line="240" w:lineRule="auto"/>
              <w:jc w:val="center"/>
              <w:rPr>
                <w:rFonts w:hint="eastAsia" w:ascii="宋体" w:hAnsi="宋体" w:eastAsia="宋体" w:cs="宋体"/>
                <w:color w:val="auto"/>
                <w:sz w:val="21"/>
                <w:szCs w:val="21"/>
              </w:rPr>
            </w:pPr>
            <w:bookmarkStart w:id="0" w:name="_GoBack"/>
            <w:r>
              <w:rPr>
                <w:rFonts w:hint="eastAsia" w:ascii="宋体" w:hAnsi="宋体" w:eastAsia="宋体" w:cs="宋体"/>
                <w:color w:val="auto"/>
                <w:sz w:val="21"/>
                <w:szCs w:val="21"/>
              </w:rPr>
              <w:t>1</w:t>
            </w:r>
          </w:p>
        </w:tc>
        <w:tc>
          <w:tcPr>
            <w:tcW w:w="2391" w:type="pct"/>
            <w:vAlign w:val="center"/>
          </w:tcPr>
          <w:p w14:paraId="11050587">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色度</w:t>
            </w:r>
          </w:p>
        </w:tc>
        <w:tc>
          <w:tcPr>
            <w:tcW w:w="2107" w:type="pct"/>
            <w:vAlign w:val="center"/>
          </w:tcPr>
          <w:p w14:paraId="45D8AD29">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GB/T 3143-1982</w:t>
            </w:r>
          </w:p>
        </w:tc>
      </w:tr>
      <w:tr w14:paraId="590C5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vAlign w:val="center"/>
          </w:tcPr>
          <w:p w14:paraId="47CE539E">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2</w:t>
            </w:r>
          </w:p>
        </w:tc>
        <w:tc>
          <w:tcPr>
            <w:tcW w:w="2391" w:type="pct"/>
            <w:vAlign w:val="center"/>
          </w:tcPr>
          <w:p w14:paraId="067240AF">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密度</w:t>
            </w:r>
          </w:p>
        </w:tc>
        <w:tc>
          <w:tcPr>
            <w:tcW w:w="2107" w:type="pct"/>
            <w:vAlign w:val="center"/>
          </w:tcPr>
          <w:p w14:paraId="26303970">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GB/T 338-2011</w:t>
            </w:r>
          </w:p>
          <w:p w14:paraId="555141B3">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GB/T 4472-2011</w:t>
            </w:r>
          </w:p>
        </w:tc>
      </w:tr>
      <w:tr w14:paraId="2351A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vAlign w:val="center"/>
          </w:tcPr>
          <w:p w14:paraId="32348CD4">
            <w:pPr>
              <w:snapToGrid w:val="0"/>
              <w:spacing w:line="240" w:lineRule="auto"/>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w:t>
            </w:r>
          </w:p>
        </w:tc>
        <w:tc>
          <w:tcPr>
            <w:tcW w:w="2391" w:type="pct"/>
            <w:vAlign w:val="center"/>
          </w:tcPr>
          <w:p w14:paraId="1FD11814">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沸程（0℃，101.3kPa）</w:t>
            </w:r>
          </w:p>
        </w:tc>
        <w:tc>
          <w:tcPr>
            <w:tcW w:w="2107" w:type="pct"/>
            <w:vAlign w:val="center"/>
          </w:tcPr>
          <w:p w14:paraId="323710BA">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GB/T 338-2011</w:t>
            </w:r>
          </w:p>
          <w:p w14:paraId="789557BE">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GB/T 7534-2004</w:t>
            </w:r>
          </w:p>
        </w:tc>
      </w:tr>
      <w:tr w14:paraId="74332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vAlign w:val="center"/>
          </w:tcPr>
          <w:p w14:paraId="7119F05B">
            <w:pPr>
              <w:snapToGrid w:val="0"/>
              <w:spacing w:line="240" w:lineRule="auto"/>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w:t>
            </w:r>
          </w:p>
        </w:tc>
        <w:tc>
          <w:tcPr>
            <w:tcW w:w="2391" w:type="pct"/>
            <w:vAlign w:val="center"/>
          </w:tcPr>
          <w:p w14:paraId="4763A76C">
            <w:pPr>
              <w:snapToGrid w:val="0"/>
              <w:spacing w:line="240" w:lineRule="auto"/>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高锰酸钾试验</w:t>
            </w:r>
          </w:p>
        </w:tc>
        <w:tc>
          <w:tcPr>
            <w:tcW w:w="2107" w:type="pct"/>
            <w:vAlign w:val="center"/>
          </w:tcPr>
          <w:p w14:paraId="4131862E">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GB/T 338-2011</w:t>
            </w:r>
          </w:p>
          <w:p w14:paraId="6FB88A76">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GB/T 6324.3-2011</w:t>
            </w:r>
          </w:p>
        </w:tc>
      </w:tr>
      <w:tr w14:paraId="28FA9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vAlign w:val="center"/>
          </w:tcPr>
          <w:p w14:paraId="76375974">
            <w:pPr>
              <w:snapToGrid w:val="0"/>
              <w:spacing w:line="240" w:lineRule="auto"/>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5</w:t>
            </w:r>
          </w:p>
        </w:tc>
        <w:tc>
          <w:tcPr>
            <w:tcW w:w="2391" w:type="pct"/>
            <w:vAlign w:val="center"/>
          </w:tcPr>
          <w:p w14:paraId="510B0C2C">
            <w:pPr>
              <w:snapToGrid w:val="0"/>
              <w:spacing w:line="240" w:lineRule="auto"/>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水混溶性试验</w:t>
            </w:r>
          </w:p>
        </w:tc>
        <w:tc>
          <w:tcPr>
            <w:tcW w:w="2107" w:type="pct"/>
            <w:vAlign w:val="center"/>
          </w:tcPr>
          <w:p w14:paraId="6308115B">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GB/T 338-2011</w:t>
            </w:r>
          </w:p>
          <w:p w14:paraId="2C1F7625">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GB/T 6324.1-2004</w:t>
            </w:r>
          </w:p>
        </w:tc>
      </w:tr>
      <w:tr w14:paraId="6F768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vAlign w:val="center"/>
          </w:tcPr>
          <w:p w14:paraId="44090D37">
            <w:pPr>
              <w:snapToGrid w:val="0"/>
              <w:spacing w:line="240" w:lineRule="auto"/>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6</w:t>
            </w:r>
          </w:p>
        </w:tc>
        <w:tc>
          <w:tcPr>
            <w:tcW w:w="2391" w:type="pct"/>
            <w:vAlign w:val="center"/>
          </w:tcPr>
          <w:p w14:paraId="4BF29DF8">
            <w:pPr>
              <w:snapToGrid w:val="0"/>
              <w:spacing w:line="240" w:lineRule="auto"/>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水</w:t>
            </w:r>
          </w:p>
        </w:tc>
        <w:tc>
          <w:tcPr>
            <w:tcW w:w="2107" w:type="pct"/>
            <w:vAlign w:val="center"/>
          </w:tcPr>
          <w:p w14:paraId="3BE99D2B">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GB/T 338-2011</w:t>
            </w:r>
          </w:p>
          <w:p w14:paraId="65E66938">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GB/T 6283-2008</w:t>
            </w:r>
          </w:p>
        </w:tc>
      </w:tr>
      <w:tr w14:paraId="21365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vAlign w:val="center"/>
          </w:tcPr>
          <w:p w14:paraId="5D23C239">
            <w:pPr>
              <w:snapToGrid w:val="0"/>
              <w:spacing w:line="240" w:lineRule="auto"/>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7</w:t>
            </w:r>
          </w:p>
        </w:tc>
        <w:tc>
          <w:tcPr>
            <w:tcW w:w="2391" w:type="pct"/>
            <w:vAlign w:val="center"/>
          </w:tcPr>
          <w:p w14:paraId="087CCFC1">
            <w:pPr>
              <w:snapToGrid w:val="0"/>
              <w:spacing w:line="240" w:lineRule="auto"/>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酸（以HCOOH计）或碱（以NH</w:t>
            </w:r>
            <w:r>
              <w:rPr>
                <w:rFonts w:hint="eastAsia" w:ascii="宋体" w:hAnsi="宋体" w:eastAsia="宋体" w:cs="宋体"/>
                <w:color w:val="auto"/>
                <w:sz w:val="21"/>
                <w:szCs w:val="21"/>
                <w:vertAlign w:val="subscript"/>
              </w:rPr>
              <w:t>3</w:t>
            </w:r>
            <w:r>
              <w:rPr>
                <w:rFonts w:hint="eastAsia" w:ascii="宋体" w:hAnsi="宋体" w:eastAsia="宋体" w:cs="宋体"/>
                <w:color w:val="auto"/>
                <w:sz w:val="21"/>
                <w:szCs w:val="21"/>
              </w:rPr>
              <w:t>计）</w:t>
            </w:r>
          </w:p>
        </w:tc>
        <w:tc>
          <w:tcPr>
            <w:tcW w:w="2107" w:type="pct"/>
            <w:vAlign w:val="center"/>
          </w:tcPr>
          <w:p w14:paraId="419EBC23">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GB/T 338-2011</w:t>
            </w:r>
          </w:p>
        </w:tc>
      </w:tr>
      <w:tr w14:paraId="31CF8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vAlign w:val="center"/>
          </w:tcPr>
          <w:p w14:paraId="5E61128A">
            <w:pPr>
              <w:snapToGrid w:val="0"/>
              <w:spacing w:line="240" w:lineRule="auto"/>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8</w:t>
            </w:r>
          </w:p>
        </w:tc>
        <w:tc>
          <w:tcPr>
            <w:tcW w:w="2391" w:type="pct"/>
            <w:vAlign w:val="center"/>
          </w:tcPr>
          <w:p w14:paraId="284C0789">
            <w:pPr>
              <w:snapToGrid w:val="0"/>
              <w:spacing w:line="240" w:lineRule="auto"/>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蒸发残渣</w:t>
            </w:r>
          </w:p>
        </w:tc>
        <w:tc>
          <w:tcPr>
            <w:tcW w:w="2107" w:type="pct"/>
            <w:vAlign w:val="center"/>
          </w:tcPr>
          <w:p w14:paraId="70D236F8">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GB/T 338-2011</w:t>
            </w:r>
          </w:p>
          <w:p w14:paraId="7381EC63">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GB/T 6324.2-2004</w:t>
            </w:r>
          </w:p>
        </w:tc>
      </w:tr>
      <w:tr w14:paraId="76E27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vAlign w:val="center"/>
          </w:tcPr>
          <w:p w14:paraId="11B9D4F8">
            <w:pPr>
              <w:snapToGrid w:val="0"/>
              <w:spacing w:line="240" w:lineRule="auto"/>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9</w:t>
            </w:r>
          </w:p>
        </w:tc>
        <w:tc>
          <w:tcPr>
            <w:tcW w:w="2391" w:type="pct"/>
            <w:vAlign w:val="center"/>
          </w:tcPr>
          <w:p w14:paraId="297B1A19">
            <w:pPr>
              <w:snapToGrid w:val="0"/>
              <w:spacing w:line="240" w:lineRule="auto"/>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硫酸洗涤试验</w:t>
            </w:r>
          </w:p>
        </w:tc>
        <w:tc>
          <w:tcPr>
            <w:tcW w:w="2107" w:type="pct"/>
            <w:vAlign w:val="center"/>
          </w:tcPr>
          <w:p w14:paraId="18354646">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GB/T 338-2011</w:t>
            </w:r>
          </w:p>
        </w:tc>
      </w:tr>
      <w:tr w14:paraId="44B2D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vAlign w:val="center"/>
          </w:tcPr>
          <w:p w14:paraId="1F1E013A">
            <w:pPr>
              <w:snapToGrid w:val="0"/>
              <w:spacing w:line="240" w:lineRule="auto"/>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10</w:t>
            </w:r>
          </w:p>
        </w:tc>
        <w:tc>
          <w:tcPr>
            <w:tcW w:w="2391" w:type="pct"/>
            <w:vAlign w:val="center"/>
          </w:tcPr>
          <w:p w14:paraId="43DB96F8">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乙醇</w:t>
            </w:r>
          </w:p>
        </w:tc>
        <w:tc>
          <w:tcPr>
            <w:tcW w:w="2107" w:type="pct"/>
            <w:vAlign w:val="center"/>
          </w:tcPr>
          <w:p w14:paraId="12EF1D89">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GB/T 338-2011</w:t>
            </w:r>
          </w:p>
        </w:tc>
      </w:tr>
      <w:tr w14:paraId="448A3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3"/>
            <w:vAlign w:val="center"/>
          </w:tcPr>
          <w:p w14:paraId="501CF6F8">
            <w:pPr>
              <w:snapToGrid w:val="0"/>
              <w:spacing w:line="240" w:lineRule="auto"/>
              <w:jc w:val="left"/>
              <w:rPr>
                <w:rFonts w:hint="eastAsia" w:ascii="宋体" w:hAnsi="宋体" w:eastAsia="宋体" w:cs="宋体"/>
                <w:color w:val="auto"/>
                <w:sz w:val="21"/>
                <w:szCs w:val="21"/>
              </w:rPr>
            </w:pPr>
            <w:r>
              <w:rPr>
                <w:rFonts w:hint="eastAsia" w:ascii="宋体" w:hAnsi="宋体" w:eastAsia="宋体" w:cs="宋体"/>
                <w:color w:val="auto"/>
                <w:kern w:val="0"/>
                <w:sz w:val="21"/>
                <w:szCs w:val="21"/>
              </w:rPr>
              <w:t>注：</w:t>
            </w:r>
            <w:r>
              <w:rPr>
                <w:rFonts w:hint="eastAsia" w:ascii="宋体" w:hAnsi="宋体" w:eastAsia="宋体" w:cs="宋体"/>
                <w:color w:val="auto"/>
                <w:kern w:val="0"/>
                <w:sz w:val="21"/>
                <w:szCs w:val="21"/>
                <w:lang w:val="en-US" w:eastAsia="zh-CN"/>
              </w:rPr>
              <w:t xml:space="preserve">适用于 </w:t>
            </w:r>
            <w:r>
              <w:rPr>
                <w:rFonts w:hint="eastAsia" w:ascii="宋体" w:hAnsi="宋体" w:eastAsia="宋体" w:cs="宋体"/>
                <w:color w:val="auto"/>
                <w:kern w:val="0"/>
                <w:sz w:val="21"/>
                <w:szCs w:val="21"/>
              </w:rPr>
              <w:t>202</w:t>
            </w:r>
            <w:r>
              <w:rPr>
                <w:rFonts w:hint="eastAsia" w:ascii="宋体" w:hAnsi="宋体" w:eastAsia="宋体" w:cs="宋体"/>
                <w:color w:val="auto"/>
                <w:kern w:val="0"/>
                <w:sz w:val="21"/>
                <w:szCs w:val="21"/>
                <w:lang w:val="en-US" w:eastAsia="zh-CN"/>
              </w:rPr>
              <w:t>6</w:t>
            </w:r>
            <w:r>
              <w:rPr>
                <w:rFonts w:hint="eastAsia" w:ascii="宋体" w:hAnsi="宋体" w:eastAsia="宋体" w:cs="宋体"/>
                <w:color w:val="auto"/>
                <w:kern w:val="0"/>
                <w:sz w:val="21"/>
                <w:szCs w:val="21"/>
              </w:rPr>
              <w:t>年</w:t>
            </w:r>
            <w:r>
              <w:rPr>
                <w:rFonts w:hint="eastAsia" w:ascii="宋体" w:hAnsi="宋体" w:eastAsia="宋体" w:cs="宋体"/>
                <w:color w:val="auto"/>
                <w:kern w:val="0"/>
                <w:sz w:val="21"/>
                <w:szCs w:val="21"/>
                <w:lang w:val="en-US" w:eastAsia="zh-CN"/>
              </w:rPr>
              <w:t>5</w:t>
            </w:r>
            <w:r>
              <w:rPr>
                <w:rFonts w:hint="eastAsia" w:ascii="宋体" w:hAnsi="宋体" w:eastAsia="宋体" w:cs="宋体"/>
                <w:color w:val="auto"/>
                <w:kern w:val="0"/>
                <w:sz w:val="21"/>
                <w:szCs w:val="21"/>
              </w:rPr>
              <w:t>月1日</w:t>
            </w:r>
            <w:r>
              <w:rPr>
                <w:rFonts w:hint="eastAsia" w:ascii="宋体" w:hAnsi="宋体" w:eastAsia="宋体" w:cs="宋体"/>
                <w:color w:val="auto"/>
                <w:kern w:val="0"/>
                <w:sz w:val="21"/>
                <w:szCs w:val="21"/>
                <w:lang w:eastAsia="zh-CN"/>
              </w:rPr>
              <w:t>之前</w:t>
            </w:r>
            <w:r>
              <w:rPr>
                <w:rFonts w:hint="eastAsia" w:ascii="宋体" w:hAnsi="宋体" w:eastAsia="宋体" w:cs="宋体"/>
                <w:color w:val="auto"/>
                <w:kern w:val="0"/>
                <w:sz w:val="21"/>
                <w:szCs w:val="21"/>
              </w:rPr>
              <w:t>生产的产品</w:t>
            </w:r>
            <w:r>
              <w:rPr>
                <w:rFonts w:hint="eastAsia" w:ascii="宋体" w:hAnsi="宋体" w:eastAsia="宋体" w:cs="宋体"/>
                <w:color w:val="auto"/>
                <w:kern w:val="0"/>
                <w:sz w:val="21"/>
                <w:szCs w:val="21"/>
                <w:lang w:eastAsia="zh-CN"/>
              </w:rPr>
              <w:t>。</w:t>
            </w:r>
          </w:p>
        </w:tc>
      </w:tr>
    </w:tbl>
    <w:p w14:paraId="33B57174">
      <w:pPr>
        <w:snapToGrid w:val="0"/>
        <w:spacing w:line="440" w:lineRule="exact"/>
        <w:jc w:val="center"/>
        <w:rPr>
          <w:rFonts w:hint="eastAsia" w:ascii="宋体" w:hAnsi="宋体" w:eastAsia="宋体" w:cs="宋体"/>
          <w:color w:val="auto"/>
          <w:sz w:val="21"/>
          <w:szCs w:val="21"/>
        </w:rPr>
      </w:pPr>
    </w:p>
    <w:p w14:paraId="6A72D026">
      <w:pPr>
        <w:snapToGrid w:val="0"/>
        <w:spacing w:line="44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表</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 xml:space="preserve"> </w:t>
      </w:r>
      <w:r>
        <w:rPr>
          <w:rFonts w:hint="eastAsia" w:ascii="宋体" w:hAnsi="宋体" w:eastAsia="宋体" w:cs="宋体"/>
          <w:color w:val="auto"/>
          <w:sz w:val="21"/>
          <w:szCs w:val="21"/>
          <w:lang w:val="en-US" w:eastAsia="zh-CN"/>
        </w:rPr>
        <w:t>工业用甲醇（GB/T 338-2025）</w:t>
      </w:r>
      <w:r>
        <w:rPr>
          <w:rFonts w:hint="eastAsia" w:ascii="宋体" w:hAnsi="宋体" w:eastAsia="宋体" w:cs="宋体"/>
          <w:color w:val="auto"/>
          <w:sz w:val="21"/>
          <w:szCs w:val="21"/>
        </w:rPr>
        <w:t>检验项目</w:t>
      </w:r>
    </w:p>
    <w:tbl>
      <w:tblPr>
        <w:tblStyle w:val="9"/>
        <w:tblW w:w="486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9"/>
        <w:gridCol w:w="4162"/>
        <w:gridCol w:w="3673"/>
      </w:tblGrid>
      <w:tr w14:paraId="6A3D0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9" w:type="pct"/>
            <w:vAlign w:val="center"/>
          </w:tcPr>
          <w:p w14:paraId="345E5BCA">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序号</w:t>
            </w:r>
          </w:p>
        </w:tc>
        <w:tc>
          <w:tcPr>
            <w:tcW w:w="2391" w:type="pct"/>
            <w:vAlign w:val="center"/>
          </w:tcPr>
          <w:p w14:paraId="7264502D">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检验项目</w:t>
            </w:r>
          </w:p>
        </w:tc>
        <w:tc>
          <w:tcPr>
            <w:tcW w:w="2109" w:type="pct"/>
            <w:vAlign w:val="center"/>
          </w:tcPr>
          <w:p w14:paraId="563CE316">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检验方法</w:t>
            </w:r>
          </w:p>
        </w:tc>
      </w:tr>
      <w:tr w14:paraId="1CE62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9" w:type="pct"/>
            <w:shd w:val="clear" w:color="auto" w:fill="auto"/>
            <w:vAlign w:val="center"/>
          </w:tcPr>
          <w:p w14:paraId="438F2D16">
            <w:pPr>
              <w:snapToGrid w:val="0"/>
              <w:spacing w:line="240" w:lineRule="auto"/>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1</w:t>
            </w:r>
          </w:p>
        </w:tc>
        <w:tc>
          <w:tcPr>
            <w:tcW w:w="2391" w:type="pct"/>
            <w:shd w:val="clear" w:color="auto" w:fill="auto"/>
            <w:vAlign w:val="center"/>
          </w:tcPr>
          <w:p w14:paraId="09F91277">
            <w:pPr>
              <w:snapToGrid w:val="0"/>
              <w:spacing w:line="240" w:lineRule="auto"/>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色度</w:t>
            </w:r>
          </w:p>
        </w:tc>
        <w:tc>
          <w:tcPr>
            <w:tcW w:w="2109" w:type="pct"/>
            <w:shd w:val="clear" w:color="auto" w:fill="auto"/>
            <w:vAlign w:val="center"/>
          </w:tcPr>
          <w:p w14:paraId="0C6FB734">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GB/T 338-2025</w:t>
            </w:r>
          </w:p>
          <w:p w14:paraId="1E2C2B32">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GB/T 3143-1982</w:t>
            </w:r>
          </w:p>
          <w:p w14:paraId="16C9ED5B">
            <w:pPr>
              <w:snapToGrid w:val="0"/>
              <w:spacing w:line="240" w:lineRule="auto"/>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GB/T 6324.6-2014</w:t>
            </w:r>
          </w:p>
        </w:tc>
      </w:tr>
      <w:tr w14:paraId="086F1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9" w:type="pct"/>
            <w:shd w:val="clear" w:color="auto" w:fill="auto"/>
            <w:vAlign w:val="center"/>
          </w:tcPr>
          <w:p w14:paraId="694B78AA">
            <w:pPr>
              <w:snapToGrid w:val="0"/>
              <w:spacing w:line="240" w:lineRule="auto"/>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2</w:t>
            </w:r>
          </w:p>
        </w:tc>
        <w:tc>
          <w:tcPr>
            <w:tcW w:w="2391" w:type="pct"/>
            <w:shd w:val="clear" w:color="auto" w:fill="auto"/>
            <w:vAlign w:val="center"/>
          </w:tcPr>
          <w:p w14:paraId="75A9459A">
            <w:pPr>
              <w:snapToGrid w:val="0"/>
              <w:spacing w:line="240" w:lineRule="auto"/>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密度</w:t>
            </w:r>
          </w:p>
        </w:tc>
        <w:tc>
          <w:tcPr>
            <w:tcW w:w="2109" w:type="pct"/>
            <w:shd w:val="clear" w:color="auto" w:fill="auto"/>
            <w:vAlign w:val="center"/>
          </w:tcPr>
          <w:p w14:paraId="04EA0AD3">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GB/T 338-2025</w:t>
            </w:r>
          </w:p>
          <w:p w14:paraId="3A1CB156">
            <w:pPr>
              <w:snapToGrid w:val="0"/>
              <w:spacing w:line="240" w:lineRule="auto"/>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GB/T 2013-2010</w:t>
            </w:r>
          </w:p>
        </w:tc>
      </w:tr>
      <w:tr w14:paraId="3F751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9" w:type="pct"/>
            <w:shd w:val="clear" w:color="auto" w:fill="auto"/>
            <w:vAlign w:val="center"/>
          </w:tcPr>
          <w:p w14:paraId="0CB8BD41">
            <w:pPr>
              <w:snapToGrid w:val="0"/>
              <w:spacing w:line="240" w:lineRule="auto"/>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3</w:t>
            </w:r>
          </w:p>
        </w:tc>
        <w:tc>
          <w:tcPr>
            <w:tcW w:w="2391" w:type="pct"/>
            <w:vAlign w:val="center"/>
          </w:tcPr>
          <w:p w14:paraId="03B6834E">
            <w:pPr>
              <w:snapToGrid w:val="0"/>
              <w:spacing w:line="240" w:lineRule="auto"/>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高锰酸钾试验</w:t>
            </w:r>
          </w:p>
        </w:tc>
        <w:tc>
          <w:tcPr>
            <w:tcW w:w="2109" w:type="pct"/>
            <w:vAlign w:val="center"/>
          </w:tcPr>
          <w:p w14:paraId="6C98CB4F">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GB/T 338-2025</w:t>
            </w:r>
          </w:p>
          <w:p w14:paraId="78B94805">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GB/T 6324.3-2011</w:t>
            </w:r>
          </w:p>
        </w:tc>
      </w:tr>
      <w:tr w14:paraId="5B3CB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9" w:type="pct"/>
            <w:shd w:val="clear" w:color="auto" w:fill="auto"/>
            <w:vAlign w:val="center"/>
          </w:tcPr>
          <w:p w14:paraId="7C27EC9F">
            <w:pPr>
              <w:snapToGrid w:val="0"/>
              <w:spacing w:line="240" w:lineRule="auto"/>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4</w:t>
            </w:r>
          </w:p>
        </w:tc>
        <w:tc>
          <w:tcPr>
            <w:tcW w:w="2391" w:type="pct"/>
            <w:vAlign w:val="center"/>
          </w:tcPr>
          <w:p w14:paraId="5C5F428A">
            <w:pPr>
              <w:snapToGrid w:val="0"/>
              <w:spacing w:line="240" w:lineRule="auto"/>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水混溶性试验</w:t>
            </w:r>
          </w:p>
        </w:tc>
        <w:tc>
          <w:tcPr>
            <w:tcW w:w="2109" w:type="pct"/>
            <w:vAlign w:val="center"/>
          </w:tcPr>
          <w:p w14:paraId="010EAD73">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GB/T 338-2025</w:t>
            </w:r>
          </w:p>
          <w:p w14:paraId="0C64AF7D">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GB/T 6324.1-2004</w:t>
            </w:r>
          </w:p>
        </w:tc>
      </w:tr>
      <w:tr w14:paraId="46CCB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9" w:type="pct"/>
            <w:shd w:val="clear" w:color="auto" w:fill="auto"/>
            <w:vAlign w:val="center"/>
          </w:tcPr>
          <w:p w14:paraId="72D06553">
            <w:pPr>
              <w:snapToGrid w:val="0"/>
              <w:spacing w:line="240" w:lineRule="auto"/>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5</w:t>
            </w:r>
          </w:p>
        </w:tc>
        <w:tc>
          <w:tcPr>
            <w:tcW w:w="2391" w:type="pct"/>
            <w:vAlign w:val="center"/>
          </w:tcPr>
          <w:p w14:paraId="5B5ED9BB">
            <w:pPr>
              <w:snapToGrid w:val="0"/>
              <w:spacing w:line="240" w:lineRule="auto"/>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水分</w:t>
            </w:r>
          </w:p>
        </w:tc>
        <w:tc>
          <w:tcPr>
            <w:tcW w:w="2109" w:type="pct"/>
            <w:vAlign w:val="center"/>
          </w:tcPr>
          <w:p w14:paraId="1C3D197C">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GB/T 338-2025</w:t>
            </w:r>
          </w:p>
          <w:p w14:paraId="43DB8CDF">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GB/T 6283-2008</w:t>
            </w:r>
          </w:p>
        </w:tc>
      </w:tr>
      <w:tr w14:paraId="036EB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9" w:type="pct"/>
            <w:shd w:val="clear" w:color="auto" w:fill="auto"/>
            <w:vAlign w:val="center"/>
          </w:tcPr>
          <w:p w14:paraId="008407EE">
            <w:pPr>
              <w:snapToGrid w:val="0"/>
              <w:spacing w:line="240" w:lineRule="auto"/>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6</w:t>
            </w:r>
          </w:p>
        </w:tc>
        <w:tc>
          <w:tcPr>
            <w:tcW w:w="2391" w:type="pct"/>
            <w:vAlign w:val="center"/>
          </w:tcPr>
          <w:p w14:paraId="1485C451">
            <w:pPr>
              <w:snapToGrid w:val="0"/>
              <w:spacing w:line="240" w:lineRule="auto"/>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酸或碱</w:t>
            </w:r>
          </w:p>
        </w:tc>
        <w:tc>
          <w:tcPr>
            <w:tcW w:w="2109" w:type="pct"/>
            <w:vAlign w:val="center"/>
          </w:tcPr>
          <w:p w14:paraId="4F0F941E">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GB/T 338-2025</w:t>
            </w:r>
          </w:p>
        </w:tc>
      </w:tr>
      <w:tr w14:paraId="4C02B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9" w:type="pct"/>
            <w:shd w:val="clear" w:color="auto" w:fill="auto"/>
            <w:vAlign w:val="center"/>
          </w:tcPr>
          <w:p w14:paraId="7C9187BD">
            <w:pPr>
              <w:snapToGrid w:val="0"/>
              <w:spacing w:line="240" w:lineRule="auto"/>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7</w:t>
            </w:r>
          </w:p>
        </w:tc>
        <w:tc>
          <w:tcPr>
            <w:tcW w:w="2391" w:type="pct"/>
            <w:vAlign w:val="center"/>
          </w:tcPr>
          <w:p w14:paraId="1EB9311C">
            <w:pPr>
              <w:snapToGrid w:val="0"/>
              <w:spacing w:line="240" w:lineRule="auto"/>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蒸发残渣</w:t>
            </w:r>
          </w:p>
        </w:tc>
        <w:tc>
          <w:tcPr>
            <w:tcW w:w="2109" w:type="pct"/>
            <w:vAlign w:val="center"/>
          </w:tcPr>
          <w:p w14:paraId="409600D8">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GB/T 338-2025</w:t>
            </w:r>
          </w:p>
          <w:p w14:paraId="4482AAA1">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GB/T 6324.2-2004</w:t>
            </w:r>
          </w:p>
        </w:tc>
      </w:tr>
      <w:tr w14:paraId="410D6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9" w:type="pct"/>
            <w:shd w:val="clear" w:color="auto" w:fill="auto"/>
            <w:vAlign w:val="center"/>
          </w:tcPr>
          <w:p w14:paraId="26C0D31E">
            <w:pPr>
              <w:snapToGrid w:val="0"/>
              <w:spacing w:line="240" w:lineRule="auto"/>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8</w:t>
            </w:r>
          </w:p>
        </w:tc>
        <w:tc>
          <w:tcPr>
            <w:tcW w:w="2391" w:type="pct"/>
            <w:vAlign w:val="center"/>
          </w:tcPr>
          <w:p w14:paraId="36AE275F">
            <w:pPr>
              <w:snapToGrid w:val="0"/>
              <w:spacing w:line="240" w:lineRule="auto"/>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硫酸洗涤试验</w:t>
            </w:r>
          </w:p>
        </w:tc>
        <w:tc>
          <w:tcPr>
            <w:tcW w:w="2109" w:type="pct"/>
            <w:vAlign w:val="center"/>
          </w:tcPr>
          <w:p w14:paraId="2DA9600B">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GB/T 338-2025</w:t>
            </w:r>
          </w:p>
        </w:tc>
      </w:tr>
      <w:tr w14:paraId="39EF9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9" w:type="pct"/>
            <w:shd w:val="clear" w:color="auto" w:fill="auto"/>
            <w:vAlign w:val="center"/>
          </w:tcPr>
          <w:p w14:paraId="7A773808">
            <w:pPr>
              <w:snapToGrid w:val="0"/>
              <w:spacing w:line="240" w:lineRule="auto"/>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9</w:t>
            </w:r>
          </w:p>
        </w:tc>
        <w:tc>
          <w:tcPr>
            <w:tcW w:w="2391" w:type="pct"/>
            <w:vAlign w:val="center"/>
          </w:tcPr>
          <w:p w14:paraId="2259BE62">
            <w:pPr>
              <w:snapToGrid w:val="0"/>
              <w:spacing w:line="240" w:lineRule="auto"/>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乙醇</w:t>
            </w:r>
          </w:p>
        </w:tc>
        <w:tc>
          <w:tcPr>
            <w:tcW w:w="2109" w:type="pct"/>
            <w:vAlign w:val="center"/>
          </w:tcPr>
          <w:p w14:paraId="0B088018">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GB/T 338-2025</w:t>
            </w:r>
          </w:p>
          <w:p w14:paraId="7C5D216E">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GB/T 46434-2025</w:t>
            </w:r>
          </w:p>
        </w:tc>
      </w:tr>
      <w:tr w14:paraId="41901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3"/>
            <w:vAlign w:val="center"/>
          </w:tcPr>
          <w:p w14:paraId="6F507B59">
            <w:pPr>
              <w:snapToGrid w:val="0"/>
              <w:spacing w:line="240" w:lineRule="auto"/>
              <w:jc w:val="left"/>
              <w:rPr>
                <w:rFonts w:hint="eastAsia" w:ascii="宋体" w:hAnsi="宋体" w:eastAsia="宋体" w:cs="宋体"/>
                <w:color w:val="000000"/>
                <w:sz w:val="21"/>
                <w:szCs w:val="21"/>
              </w:rPr>
            </w:pPr>
            <w:r>
              <w:rPr>
                <w:rFonts w:hint="eastAsia" w:ascii="宋体" w:hAnsi="宋体" w:eastAsia="宋体" w:cs="宋体"/>
                <w:color w:val="auto"/>
                <w:kern w:val="0"/>
                <w:sz w:val="21"/>
                <w:szCs w:val="21"/>
              </w:rPr>
              <w:t>注：</w:t>
            </w:r>
            <w:r>
              <w:rPr>
                <w:rFonts w:hint="eastAsia" w:ascii="宋体" w:hAnsi="宋体" w:eastAsia="宋体" w:cs="宋体"/>
                <w:color w:val="auto"/>
                <w:kern w:val="0"/>
                <w:sz w:val="21"/>
                <w:szCs w:val="21"/>
                <w:lang w:val="en-US" w:eastAsia="zh-CN"/>
              </w:rPr>
              <w:t xml:space="preserve">适用于 </w:t>
            </w:r>
            <w:r>
              <w:rPr>
                <w:rFonts w:hint="eastAsia" w:ascii="宋体" w:hAnsi="宋体" w:eastAsia="宋体" w:cs="宋体"/>
                <w:color w:val="auto"/>
                <w:kern w:val="0"/>
                <w:sz w:val="21"/>
                <w:szCs w:val="21"/>
              </w:rPr>
              <w:t>202</w:t>
            </w:r>
            <w:r>
              <w:rPr>
                <w:rFonts w:hint="eastAsia" w:ascii="宋体" w:hAnsi="宋体" w:eastAsia="宋体" w:cs="宋体"/>
                <w:color w:val="auto"/>
                <w:kern w:val="0"/>
                <w:sz w:val="21"/>
                <w:szCs w:val="21"/>
                <w:lang w:val="en-US" w:eastAsia="zh-CN"/>
              </w:rPr>
              <w:t>6</w:t>
            </w:r>
            <w:r>
              <w:rPr>
                <w:rFonts w:hint="eastAsia" w:ascii="宋体" w:hAnsi="宋体" w:eastAsia="宋体" w:cs="宋体"/>
                <w:color w:val="auto"/>
                <w:kern w:val="0"/>
                <w:sz w:val="21"/>
                <w:szCs w:val="21"/>
              </w:rPr>
              <w:t>年</w:t>
            </w:r>
            <w:r>
              <w:rPr>
                <w:rFonts w:hint="eastAsia" w:ascii="宋体" w:hAnsi="宋体" w:eastAsia="宋体" w:cs="宋体"/>
                <w:color w:val="auto"/>
                <w:kern w:val="0"/>
                <w:sz w:val="21"/>
                <w:szCs w:val="21"/>
                <w:lang w:val="en-US" w:eastAsia="zh-CN"/>
              </w:rPr>
              <w:t>5</w:t>
            </w:r>
            <w:r>
              <w:rPr>
                <w:rFonts w:hint="eastAsia" w:ascii="宋体" w:hAnsi="宋体" w:eastAsia="宋体" w:cs="宋体"/>
                <w:color w:val="auto"/>
                <w:kern w:val="0"/>
                <w:sz w:val="21"/>
                <w:szCs w:val="21"/>
              </w:rPr>
              <w:t>月1日</w:t>
            </w:r>
            <w:r>
              <w:rPr>
                <w:rFonts w:hint="eastAsia" w:ascii="宋体" w:hAnsi="宋体" w:eastAsia="宋体" w:cs="宋体"/>
                <w:color w:val="auto"/>
                <w:kern w:val="0"/>
                <w:sz w:val="21"/>
                <w:szCs w:val="21"/>
                <w:lang w:eastAsia="zh-CN"/>
              </w:rPr>
              <w:t>之</w:t>
            </w:r>
            <w:r>
              <w:rPr>
                <w:rFonts w:hint="eastAsia" w:ascii="宋体" w:hAnsi="宋体" w:eastAsia="宋体" w:cs="宋体"/>
                <w:color w:val="auto"/>
                <w:kern w:val="0"/>
                <w:sz w:val="21"/>
                <w:szCs w:val="21"/>
                <w:lang w:val="en-US" w:eastAsia="zh-CN"/>
              </w:rPr>
              <w:t>后</w:t>
            </w:r>
            <w:r>
              <w:rPr>
                <w:rFonts w:hint="eastAsia" w:ascii="宋体" w:hAnsi="宋体" w:eastAsia="宋体" w:cs="宋体"/>
                <w:color w:val="auto"/>
                <w:kern w:val="0"/>
                <w:sz w:val="21"/>
                <w:szCs w:val="21"/>
              </w:rPr>
              <w:t>生产的产品</w:t>
            </w:r>
            <w:r>
              <w:rPr>
                <w:rFonts w:hint="eastAsia" w:ascii="宋体" w:hAnsi="宋体" w:eastAsia="宋体" w:cs="宋体"/>
                <w:color w:val="auto"/>
                <w:kern w:val="0"/>
                <w:sz w:val="21"/>
                <w:szCs w:val="21"/>
                <w:lang w:eastAsia="zh-CN"/>
              </w:rPr>
              <w:t>。</w:t>
            </w:r>
          </w:p>
        </w:tc>
      </w:tr>
    </w:tbl>
    <w:p w14:paraId="17938201">
      <w:pPr>
        <w:adjustRightInd w:val="0"/>
        <w:snapToGrid w:val="0"/>
        <w:spacing w:line="440" w:lineRule="exact"/>
        <w:ind w:firstLine="420" w:firstLineChars="200"/>
        <w:rPr>
          <w:szCs w:val="21"/>
        </w:rPr>
      </w:pPr>
      <w:r>
        <w:rPr>
          <w:rFonts w:hint="eastAsia" w:ascii="宋体" w:hAnsi="宋体" w:eastAsia="宋体" w:cs="宋体"/>
          <w:sz w:val="21"/>
          <w:szCs w:val="21"/>
        </w:rPr>
        <w:t>执行企业标准、团体标准、地方标准的产品，检验项目参照上述内容执行</w:t>
      </w:r>
      <w:r>
        <w:rPr>
          <w:rFonts w:hint="eastAsia"/>
          <w:szCs w:val="21"/>
        </w:rPr>
        <w:t>。</w:t>
      </w:r>
    </w:p>
    <w:p w14:paraId="5E628347">
      <w:pPr>
        <w:spacing w:line="360" w:lineRule="auto"/>
        <w:rPr>
          <w:rFonts w:hint="eastAsia" w:ascii="黑体" w:hAnsi="黑体" w:eastAsia="黑体"/>
          <w:color w:val="000000"/>
          <w:szCs w:val="21"/>
        </w:rPr>
      </w:pPr>
      <w:r>
        <w:rPr>
          <w:rFonts w:hint="eastAsia" w:ascii="黑体" w:hAnsi="黑体" w:eastAsia="黑体"/>
          <w:color w:val="000000"/>
          <w:szCs w:val="21"/>
        </w:rPr>
        <w:t>3 判定规则</w:t>
      </w:r>
    </w:p>
    <w:p w14:paraId="045314DD">
      <w:pPr>
        <w:snapToGrid w:val="0"/>
        <w:spacing w:line="440" w:lineRule="exact"/>
        <w:rPr>
          <w:rFonts w:hint="eastAsia" w:ascii="黑体" w:hAnsi="宋体" w:eastAsia="黑体"/>
          <w:color w:val="000000"/>
          <w:szCs w:val="21"/>
        </w:rPr>
      </w:pPr>
      <w:r>
        <w:rPr>
          <w:rFonts w:hint="eastAsia" w:ascii="宋体" w:hAnsi="宋体" w:eastAsia="宋体" w:cs="Times New Roman"/>
          <w:color w:val="000000"/>
          <w:szCs w:val="21"/>
        </w:rPr>
        <w:t>3.1依据标准</w:t>
      </w:r>
    </w:p>
    <w:p w14:paraId="5DB2A5B4">
      <w:pPr>
        <w:snapToGrid w:val="0"/>
        <w:spacing w:line="440" w:lineRule="exact"/>
        <w:ind w:firstLine="359" w:firstLineChars="171"/>
        <w:rPr>
          <w:rFonts w:hint="eastAsia" w:ascii="宋体" w:hAnsi="宋体"/>
          <w:color w:val="000000"/>
          <w:szCs w:val="21"/>
          <w:lang w:val="en-US" w:eastAsia="zh-CN"/>
        </w:rPr>
      </w:pPr>
      <w:r>
        <w:rPr>
          <w:rFonts w:hint="eastAsia" w:ascii="宋体" w:hAnsi="宋体"/>
          <w:color w:val="000000"/>
          <w:szCs w:val="21"/>
          <w:lang w:val="en-US" w:eastAsia="zh-CN"/>
        </w:rPr>
        <w:t>GB/T 338-2011《工业用甲醇》</w:t>
      </w:r>
    </w:p>
    <w:p w14:paraId="7E92FCF5">
      <w:pPr>
        <w:snapToGrid w:val="0"/>
        <w:spacing w:line="440" w:lineRule="exact"/>
        <w:ind w:firstLine="359" w:firstLineChars="171"/>
        <w:rPr>
          <w:rFonts w:hint="eastAsia" w:ascii="宋体" w:hAnsi="宋体"/>
          <w:color w:val="000000"/>
          <w:szCs w:val="21"/>
        </w:rPr>
      </w:pPr>
      <w:r>
        <w:rPr>
          <w:rFonts w:hint="eastAsia" w:ascii="宋体" w:hAnsi="宋体"/>
          <w:color w:val="000000"/>
          <w:szCs w:val="21"/>
          <w:lang w:val="en-US" w:eastAsia="zh-CN"/>
        </w:rPr>
        <w:t>GB/T 338-2025《工业用甲醇》</w:t>
      </w:r>
    </w:p>
    <w:p w14:paraId="59136E26">
      <w:pPr>
        <w:snapToGrid w:val="0"/>
        <w:spacing w:line="440" w:lineRule="exact"/>
        <w:ind w:firstLine="359" w:firstLineChars="171"/>
        <w:rPr>
          <w:rFonts w:hint="eastAsia" w:ascii="宋体" w:hAnsi="宋体"/>
          <w:color w:val="000000"/>
          <w:szCs w:val="21"/>
        </w:rPr>
      </w:pPr>
      <w:r>
        <w:rPr>
          <w:rFonts w:hint="eastAsia" w:ascii="宋体" w:hAnsi="宋体"/>
          <w:color w:val="000000"/>
          <w:szCs w:val="21"/>
        </w:rPr>
        <w:t>现行有效的企业标准、团体标准、地方标准及产品明示质量要求</w:t>
      </w:r>
    </w:p>
    <w:p w14:paraId="59758F21">
      <w:pPr>
        <w:snapToGrid w:val="0"/>
        <w:spacing w:line="440" w:lineRule="exact"/>
        <w:rPr>
          <w:rFonts w:hint="eastAsia" w:ascii="宋体" w:hAnsi="宋体"/>
          <w:color w:val="000000"/>
          <w:szCs w:val="21"/>
        </w:rPr>
      </w:pPr>
      <w:r>
        <w:rPr>
          <w:rFonts w:hint="eastAsia" w:ascii="宋体" w:hAnsi="宋体"/>
          <w:color w:val="000000"/>
          <w:szCs w:val="21"/>
        </w:rPr>
        <w:t>3.2判定原则</w:t>
      </w:r>
    </w:p>
    <w:p w14:paraId="0E00D157">
      <w:pPr>
        <w:snapToGrid w:val="0"/>
        <w:spacing w:line="440" w:lineRule="exact"/>
        <w:ind w:firstLine="420" w:firstLineChars="200"/>
        <w:rPr>
          <w:rFonts w:hint="eastAsia" w:ascii="宋体" w:hAnsi="宋体"/>
          <w:color w:val="000000"/>
          <w:szCs w:val="21"/>
        </w:rPr>
      </w:pPr>
      <w:r>
        <w:rPr>
          <w:rFonts w:hint="eastAsia" w:ascii="宋体" w:hAnsi="宋体"/>
          <w:color w:val="000000"/>
          <w:szCs w:val="21"/>
        </w:rPr>
        <w:t>经检验，检验项目全部合格，判定为被抽查产品所检项目未发现不合格；检验项目中任一项或一项以上不合格，判定为被抽查产品不合格。</w:t>
      </w:r>
    </w:p>
    <w:p w14:paraId="506B9CBE">
      <w:pPr>
        <w:snapToGrid w:val="0"/>
        <w:spacing w:line="440" w:lineRule="exact"/>
        <w:ind w:firstLine="417" w:firstLineChars="199"/>
        <w:rPr>
          <w:rFonts w:hint="eastAsia" w:ascii="宋体" w:hAnsi="宋体"/>
          <w:color w:val="000000"/>
          <w:szCs w:val="21"/>
        </w:rPr>
      </w:pPr>
      <w:r>
        <w:rPr>
          <w:rFonts w:hint="eastAsia" w:ascii="宋体" w:hAnsi="宋体"/>
          <w:color w:val="000000"/>
          <w:szCs w:val="21"/>
        </w:rPr>
        <w:t>若被检产品明示的质量要求高于本细则中检验项目依据的标准要求时，应按被检产品明示的质量要求判定。</w:t>
      </w:r>
    </w:p>
    <w:p w14:paraId="4B691052">
      <w:pPr>
        <w:snapToGrid w:val="0"/>
        <w:spacing w:line="440" w:lineRule="exact"/>
        <w:ind w:firstLine="417" w:firstLineChars="199"/>
        <w:rPr>
          <w:rFonts w:hint="eastAsia" w:ascii="宋体" w:hAnsi="宋体"/>
          <w:color w:val="000000"/>
          <w:szCs w:val="21"/>
        </w:rPr>
      </w:pPr>
      <w:r>
        <w:rPr>
          <w:rFonts w:hint="eastAsia" w:ascii="宋体" w:hAnsi="宋体"/>
          <w:color w:val="000000"/>
          <w:szCs w:val="21"/>
        </w:rPr>
        <w:t>若被检产品明示的质量要求低于本细则中检验项目依据的强制性标准要求时，应按照强制性标准要求判定。</w:t>
      </w:r>
    </w:p>
    <w:p w14:paraId="18A3F7D4">
      <w:pPr>
        <w:snapToGrid w:val="0"/>
        <w:spacing w:line="440" w:lineRule="exact"/>
        <w:ind w:firstLine="417" w:firstLineChars="199"/>
        <w:rPr>
          <w:rFonts w:hint="eastAsia" w:ascii="宋体" w:hAnsi="宋体"/>
          <w:color w:val="000000"/>
          <w:szCs w:val="21"/>
        </w:rPr>
      </w:pPr>
      <w:r>
        <w:rPr>
          <w:rFonts w:hint="eastAsia" w:ascii="宋体" w:hAnsi="宋体"/>
          <w:color w:val="000000"/>
          <w:szCs w:val="21"/>
        </w:rPr>
        <w:t>若被检产品明示的质量要求低于或包含本细则中检验项目依据的推荐性标准要求时，应以被检产品明示的质量要求判定。</w:t>
      </w:r>
    </w:p>
    <w:p w14:paraId="656731EA">
      <w:pPr>
        <w:snapToGrid w:val="0"/>
        <w:spacing w:line="440" w:lineRule="exact"/>
        <w:ind w:firstLine="417" w:firstLineChars="199"/>
        <w:rPr>
          <w:rFonts w:hint="eastAsia" w:ascii="宋体" w:hAnsi="宋体"/>
          <w:color w:val="000000"/>
          <w:szCs w:val="21"/>
        </w:rPr>
      </w:pPr>
      <w:r>
        <w:rPr>
          <w:rFonts w:hint="eastAsia" w:ascii="宋体" w:hAnsi="宋体"/>
          <w:color w:val="000000"/>
          <w:szCs w:val="21"/>
        </w:rPr>
        <w:t>若被检产品明示的质量要求缺少本细则中检验项目依据的强制性标准要求时，应按照强制性标准要求判定。</w:t>
      </w:r>
    </w:p>
    <w:p w14:paraId="2871B314">
      <w:pPr>
        <w:snapToGrid w:val="0"/>
        <w:spacing w:line="440" w:lineRule="exact"/>
        <w:ind w:firstLine="417" w:firstLineChars="199"/>
        <w:rPr>
          <w:rFonts w:hint="eastAsia" w:ascii="宋体" w:hAnsi="宋体"/>
          <w:color w:val="000000"/>
          <w:szCs w:val="21"/>
        </w:rPr>
      </w:pPr>
      <w:r>
        <w:rPr>
          <w:rFonts w:hint="eastAsia" w:ascii="宋体" w:hAnsi="宋体"/>
          <w:color w:val="000000"/>
          <w:szCs w:val="21"/>
        </w:rPr>
        <w:t>若被检产品明示的质量要求缺少本细则中检验项目依据的推荐性标准要求时，该项目不参与判定。</w:t>
      </w:r>
    </w:p>
    <w:sectPr>
      <w:headerReference r:id="rId3" w:type="default"/>
      <w:footerReference r:id="rId4" w:type="default"/>
      <w:footerReference r:id="rId5" w:type="even"/>
      <w:pgSz w:w="11906" w:h="16838"/>
      <w:pgMar w:top="1985" w:right="1361" w:bottom="1361"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1C3BC43-4400-45B8-8512-5A23CC3BBB8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00000001" w:usb1="08000000" w:usb2="00000000" w:usb3="00000000" w:csb0="00040000" w:csb1="00000000"/>
    <w:embedRegular r:id="rId2" w:fontKey="{08EA8C0E-A91E-45A5-94C0-A403B19AEB42}"/>
  </w:font>
  <w:font w:name="仿宋">
    <w:panose1 w:val="02010609060101010101"/>
    <w:charset w:val="86"/>
    <w:family w:val="modern"/>
    <w:pitch w:val="default"/>
    <w:sig w:usb0="800002BF" w:usb1="38CF7CFA" w:usb2="00000016" w:usb3="00000000" w:csb0="00040001" w:csb1="00000000"/>
    <w:embedRegular r:id="rId3" w:fontKey="{9A0AF464-10AA-4371-A848-D47DEFC0D7D6}"/>
  </w:font>
  <w:font w:name="方正仿宋简体">
    <w:altName w:val="微软雅黑"/>
    <w:panose1 w:val="02000000000000000000"/>
    <w:charset w:val="86"/>
    <w:family w:val="auto"/>
    <w:pitch w:val="default"/>
    <w:sig w:usb0="00000000" w:usb1="00000000" w:usb2="00000012" w:usb3="00000000" w:csb0="00040001" w:csb1="00000000"/>
    <w:embedRegular r:id="rId4" w:fontKey="{0927142B-DF57-4451-A785-DC12856BEF0D}"/>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7AE38E">
    <w:pPr>
      <w:pStyle w:val="6"/>
      <w:jc w:val="center"/>
    </w:pPr>
    <w:r>
      <w:rPr>
        <w:lang w:val="zh-CN"/>
      </w:rPr>
      <w:fldChar w:fldCharType="begin"/>
    </w:r>
    <w:r>
      <w:rPr>
        <w:lang w:val="zh-CN"/>
      </w:rPr>
      <w:instrText xml:space="preserve"> PAGE   \* MERGEFORMAT </w:instrText>
    </w:r>
    <w:r>
      <w:rPr>
        <w:lang w:val="zh-CN"/>
      </w:rPr>
      <w:fldChar w:fldCharType="separate"/>
    </w:r>
    <w:r>
      <w:t>1</w:t>
    </w:r>
    <w:r>
      <w:rPr>
        <w:lang w:val="zh-CN"/>
      </w:rPr>
      <w:fldChar w:fldCharType="end"/>
    </w:r>
  </w:p>
  <w:p w14:paraId="59789CC5">
    <w:pPr>
      <w:pStyle w:val="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9FC710">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2</w:t>
    </w:r>
    <w:r>
      <w:fldChar w:fldCharType="end"/>
    </w:r>
  </w:p>
  <w:p w14:paraId="06A48629">
    <w:pPr>
      <w:pStyle w:val="6"/>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843F91">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VhY2ZjNTcyNDUwMGIyMDVkY2QxZWZjOTY3NDk1MjEifQ=="/>
  </w:docVars>
  <w:rsids>
    <w:rsidRoot w:val="00172A27"/>
    <w:rsid w:val="000058F4"/>
    <w:rsid w:val="000333AE"/>
    <w:rsid w:val="00051A44"/>
    <w:rsid w:val="00081CBD"/>
    <w:rsid w:val="000976DE"/>
    <w:rsid w:val="000B6F1F"/>
    <w:rsid w:val="000D567E"/>
    <w:rsid w:val="00123D1C"/>
    <w:rsid w:val="00132CF9"/>
    <w:rsid w:val="00166132"/>
    <w:rsid w:val="00172A27"/>
    <w:rsid w:val="001809DD"/>
    <w:rsid w:val="001D1B89"/>
    <w:rsid w:val="00214C51"/>
    <w:rsid w:val="00232530"/>
    <w:rsid w:val="00234DDD"/>
    <w:rsid w:val="00253624"/>
    <w:rsid w:val="002769A5"/>
    <w:rsid w:val="002924DC"/>
    <w:rsid w:val="002D7F8A"/>
    <w:rsid w:val="002E0D1D"/>
    <w:rsid w:val="003203A3"/>
    <w:rsid w:val="00365CBE"/>
    <w:rsid w:val="003A7D30"/>
    <w:rsid w:val="003B7830"/>
    <w:rsid w:val="003C388C"/>
    <w:rsid w:val="003D09A1"/>
    <w:rsid w:val="003E61BF"/>
    <w:rsid w:val="004104AC"/>
    <w:rsid w:val="00445E86"/>
    <w:rsid w:val="00447AD2"/>
    <w:rsid w:val="0045434D"/>
    <w:rsid w:val="00474E04"/>
    <w:rsid w:val="00475B7D"/>
    <w:rsid w:val="00497ADE"/>
    <w:rsid w:val="004D0C5A"/>
    <w:rsid w:val="004D184C"/>
    <w:rsid w:val="004E1396"/>
    <w:rsid w:val="004E2A1E"/>
    <w:rsid w:val="004E6C21"/>
    <w:rsid w:val="0051405E"/>
    <w:rsid w:val="00563EBC"/>
    <w:rsid w:val="00577718"/>
    <w:rsid w:val="005A1280"/>
    <w:rsid w:val="006467D3"/>
    <w:rsid w:val="006E1171"/>
    <w:rsid w:val="006F0971"/>
    <w:rsid w:val="0072334C"/>
    <w:rsid w:val="007F6BAF"/>
    <w:rsid w:val="00895BEA"/>
    <w:rsid w:val="008A0B20"/>
    <w:rsid w:val="008A3497"/>
    <w:rsid w:val="008B1C3B"/>
    <w:rsid w:val="008E0A40"/>
    <w:rsid w:val="00917A54"/>
    <w:rsid w:val="0094459B"/>
    <w:rsid w:val="009C14C4"/>
    <w:rsid w:val="009D08AE"/>
    <w:rsid w:val="00A20B6E"/>
    <w:rsid w:val="00A23D98"/>
    <w:rsid w:val="00A43553"/>
    <w:rsid w:val="00AC5391"/>
    <w:rsid w:val="00AD07B7"/>
    <w:rsid w:val="00B426C0"/>
    <w:rsid w:val="00B65F23"/>
    <w:rsid w:val="00B81228"/>
    <w:rsid w:val="00B83D68"/>
    <w:rsid w:val="00BA15FD"/>
    <w:rsid w:val="00BF2B8C"/>
    <w:rsid w:val="00C26074"/>
    <w:rsid w:val="00C83B0A"/>
    <w:rsid w:val="00CD79DA"/>
    <w:rsid w:val="00CE1E0C"/>
    <w:rsid w:val="00CE277E"/>
    <w:rsid w:val="00D154C0"/>
    <w:rsid w:val="00D56867"/>
    <w:rsid w:val="00E02A7F"/>
    <w:rsid w:val="00E07880"/>
    <w:rsid w:val="00E63241"/>
    <w:rsid w:val="00E82621"/>
    <w:rsid w:val="00F77C9A"/>
    <w:rsid w:val="00F91A0A"/>
    <w:rsid w:val="00FB576C"/>
    <w:rsid w:val="00FD2AA6"/>
    <w:rsid w:val="00FE0548"/>
    <w:rsid w:val="00FE7E8A"/>
    <w:rsid w:val="016A347B"/>
    <w:rsid w:val="01E925F2"/>
    <w:rsid w:val="020C4532"/>
    <w:rsid w:val="023F66B6"/>
    <w:rsid w:val="025263E9"/>
    <w:rsid w:val="02B40E52"/>
    <w:rsid w:val="02D84414"/>
    <w:rsid w:val="0374413D"/>
    <w:rsid w:val="038247D1"/>
    <w:rsid w:val="03B73599"/>
    <w:rsid w:val="03C926DB"/>
    <w:rsid w:val="03E374AB"/>
    <w:rsid w:val="04004189"/>
    <w:rsid w:val="050056E6"/>
    <w:rsid w:val="050E58B1"/>
    <w:rsid w:val="051756C8"/>
    <w:rsid w:val="056A1C9B"/>
    <w:rsid w:val="059C797B"/>
    <w:rsid w:val="061E4834"/>
    <w:rsid w:val="06604E4C"/>
    <w:rsid w:val="06EE2458"/>
    <w:rsid w:val="070677A2"/>
    <w:rsid w:val="073A569E"/>
    <w:rsid w:val="078B290D"/>
    <w:rsid w:val="0790350F"/>
    <w:rsid w:val="07D258D6"/>
    <w:rsid w:val="08F31FA8"/>
    <w:rsid w:val="08F55D20"/>
    <w:rsid w:val="09061CDB"/>
    <w:rsid w:val="09641372"/>
    <w:rsid w:val="0BA92DF2"/>
    <w:rsid w:val="0BF71DAF"/>
    <w:rsid w:val="0C8F1FE8"/>
    <w:rsid w:val="0CA10BFA"/>
    <w:rsid w:val="0CC47EE3"/>
    <w:rsid w:val="0CD94EDE"/>
    <w:rsid w:val="0D080ACE"/>
    <w:rsid w:val="0D305579"/>
    <w:rsid w:val="0D725B91"/>
    <w:rsid w:val="0D9F625A"/>
    <w:rsid w:val="0E460DCC"/>
    <w:rsid w:val="0F331350"/>
    <w:rsid w:val="0FCB77DB"/>
    <w:rsid w:val="101F4A8C"/>
    <w:rsid w:val="10682325"/>
    <w:rsid w:val="106A2B50"/>
    <w:rsid w:val="10794722"/>
    <w:rsid w:val="10B22749"/>
    <w:rsid w:val="1124218F"/>
    <w:rsid w:val="118F66DA"/>
    <w:rsid w:val="11904838"/>
    <w:rsid w:val="11BC387F"/>
    <w:rsid w:val="11DA1F57"/>
    <w:rsid w:val="126B5F58"/>
    <w:rsid w:val="129C5519"/>
    <w:rsid w:val="13C7650B"/>
    <w:rsid w:val="140908D1"/>
    <w:rsid w:val="14164D9C"/>
    <w:rsid w:val="143040B0"/>
    <w:rsid w:val="14357918"/>
    <w:rsid w:val="14641FAC"/>
    <w:rsid w:val="147246C9"/>
    <w:rsid w:val="14997EA7"/>
    <w:rsid w:val="14B551E5"/>
    <w:rsid w:val="152C0D1B"/>
    <w:rsid w:val="15D51B6F"/>
    <w:rsid w:val="161377E5"/>
    <w:rsid w:val="168E3310"/>
    <w:rsid w:val="16922E00"/>
    <w:rsid w:val="17CE60BA"/>
    <w:rsid w:val="17EF7B96"/>
    <w:rsid w:val="19E15BCC"/>
    <w:rsid w:val="1AB53561"/>
    <w:rsid w:val="1B23671D"/>
    <w:rsid w:val="1B852F33"/>
    <w:rsid w:val="1B9C202B"/>
    <w:rsid w:val="1B9E3FF5"/>
    <w:rsid w:val="1C1B5646"/>
    <w:rsid w:val="1C942B5C"/>
    <w:rsid w:val="1DD97567"/>
    <w:rsid w:val="1E2D1660"/>
    <w:rsid w:val="1E4A2212"/>
    <w:rsid w:val="1EBA28F0"/>
    <w:rsid w:val="1EEC32CA"/>
    <w:rsid w:val="1F52137F"/>
    <w:rsid w:val="1F6D61B8"/>
    <w:rsid w:val="20313878"/>
    <w:rsid w:val="20344F28"/>
    <w:rsid w:val="20564E9E"/>
    <w:rsid w:val="21505D92"/>
    <w:rsid w:val="21722E7F"/>
    <w:rsid w:val="21A165ED"/>
    <w:rsid w:val="21CC08FD"/>
    <w:rsid w:val="21FE64EE"/>
    <w:rsid w:val="229D6DB5"/>
    <w:rsid w:val="23201794"/>
    <w:rsid w:val="235D4796"/>
    <w:rsid w:val="23615817"/>
    <w:rsid w:val="23621DAC"/>
    <w:rsid w:val="2423153B"/>
    <w:rsid w:val="243B4AD7"/>
    <w:rsid w:val="243E6375"/>
    <w:rsid w:val="25F018F1"/>
    <w:rsid w:val="26103D41"/>
    <w:rsid w:val="266F6CBA"/>
    <w:rsid w:val="270C4509"/>
    <w:rsid w:val="27127645"/>
    <w:rsid w:val="27906EE8"/>
    <w:rsid w:val="284B72B3"/>
    <w:rsid w:val="28777889"/>
    <w:rsid w:val="2A726D79"/>
    <w:rsid w:val="2B2362C5"/>
    <w:rsid w:val="2B487ADA"/>
    <w:rsid w:val="2C0C0B07"/>
    <w:rsid w:val="2C504E98"/>
    <w:rsid w:val="2C536736"/>
    <w:rsid w:val="2C5F3889"/>
    <w:rsid w:val="2C956D4E"/>
    <w:rsid w:val="2D3E2667"/>
    <w:rsid w:val="2D742E08"/>
    <w:rsid w:val="2EF44200"/>
    <w:rsid w:val="2F1A178D"/>
    <w:rsid w:val="2FBD0A96"/>
    <w:rsid w:val="2FD96459"/>
    <w:rsid w:val="30BF25EC"/>
    <w:rsid w:val="312F7547"/>
    <w:rsid w:val="314F1BC2"/>
    <w:rsid w:val="31807FCD"/>
    <w:rsid w:val="31B55C3F"/>
    <w:rsid w:val="31BE28A4"/>
    <w:rsid w:val="32AE0B6A"/>
    <w:rsid w:val="33264BA4"/>
    <w:rsid w:val="33323549"/>
    <w:rsid w:val="333C7F24"/>
    <w:rsid w:val="33501C21"/>
    <w:rsid w:val="33543860"/>
    <w:rsid w:val="33E505BB"/>
    <w:rsid w:val="342015F4"/>
    <w:rsid w:val="3460367F"/>
    <w:rsid w:val="34DB19BE"/>
    <w:rsid w:val="34E00D83"/>
    <w:rsid w:val="35EA010B"/>
    <w:rsid w:val="369167D9"/>
    <w:rsid w:val="36DF7544"/>
    <w:rsid w:val="371F5B92"/>
    <w:rsid w:val="379445DF"/>
    <w:rsid w:val="37A662B4"/>
    <w:rsid w:val="37B7401D"/>
    <w:rsid w:val="383733B0"/>
    <w:rsid w:val="38AA5930"/>
    <w:rsid w:val="38F117B0"/>
    <w:rsid w:val="39184F8F"/>
    <w:rsid w:val="393D67A4"/>
    <w:rsid w:val="3A65297A"/>
    <w:rsid w:val="3A8A5A19"/>
    <w:rsid w:val="3AA0523C"/>
    <w:rsid w:val="3B1F0857"/>
    <w:rsid w:val="3BEF1E4D"/>
    <w:rsid w:val="3C9E57AB"/>
    <w:rsid w:val="3CA803D8"/>
    <w:rsid w:val="3CE84C78"/>
    <w:rsid w:val="3D1B7614"/>
    <w:rsid w:val="3DAB4624"/>
    <w:rsid w:val="3DBC05DF"/>
    <w:rsid w:val="3E5E3444"/>
    <w:rsid w:val="3EC11C25"/>
    <w:rsid w:val="3ED25BE0"/>
    <w:rsid w:val="3EFB5137"/>
    <w:rsid w:val="3F0D32E4"/>
    <w:rsid w:val="3F9B4224"/>
    <w:rsid w:val="410D2F00"/>
    <w:rsid w:val="41870F04"/>
    <w:rsid w:val="41A01FC6"/>
    <w:rsid w:val="42DA32B5"/>
    <w:rsid w:val="431F6F1A"/>
    <w:rsid w:val="433E1A96"/>
    <w:rsid w:val="43882D11"/>
    <w:rsid w:val="43A538C3"/>
    <w:rsid w:val="45992FB4"/>
    <w:rsid w:val="45DD5596"/>
    <w:rsid w:val="45FD1795"/>
    <w:rsid w:val="4642364B"/>
    <w:rsid w:val="46492C2C"/>
    <w:rsid w:val="46511AE0"/>
    <w:rsid w:val="468C0D6B"/>
    <w:rsid w:val="476D59BD"/>
    <w:rsid w:val="47A65E5C"/>
    <w:rsid w:val="48396CD0"/>
    <w:rsid w:val="48606DF3"/>
    <w:rsid w:val="489B34E7"/>
    <w:rsid w:val="489D2DBB"/>
    <w:rsid w:val="48FF3A76"/>
    <w:rsid w:val="49261002"/>
    <w:rsid w:val="4BA95A36"/>
    <w:rsid w:val="4C455C43"/>
    <w:rsid w:val="4CFB27A6"/>
    <w:rsid w:val="4DA30E74"/>
    <w:rsid w:val="4DD059E1"/>
    <w:rsid w:val="4DDA23BB"/>
    <w:rsid w:val="4E7A547F"/>
    <w:rsid w:val="4E944C60"/>
    <w:rsid w:val="4EB10F1F"/>
    <w:rsid w:val="4ECF0F8A"/>
    <w:rsid w:val="4EEC684A"/>
    <w:rsid w:val="4EF92D15"/>
    <w:rsid w:val="4F675ED1"/>
    <w:rsid w:val="4F9847FC"/>
    <w:rsid w:val="4FC76963"/>
    <w:rsid w:val="4FF43C08"/>
    <w:rsid w:val="4FFD7F4B"/>
    <w:rsid w:val="501C4F0D"/>
    <w:rsid w:val="51402E7D"/>
    <w:rsid w:val="51C4585C"/>
    <w:rsid w:val="52546BE0"/>
    <w:rsid w:val="525A7F6F"/>
    <w:rsid w:val="52D65847"/>
    <w:rsid w:val="53426C4B"/>
    <w:rsid w:val="53D120E9"/>
    <w:rsid w:val="543547EF"/>
    <w:rsid w:val="543C5B7E"/>
    <w:rsid w:val="546B6463"/>
    <w:rsid w:val="5495528E"/>
    <w:rsid w:val="557D644E"/>
    <w:rsid w:val="56186177"/>
    <w:rsid w:val="56B765BF"/>
    <w:rsid w:val="56E12A0D"/>
    <w:rsid w:val="571701DC"/>
    <w:rsid w:val="574D00A2"/>
    <w:rsid w:val="576158FB"/>
    <w:rsid w:val="587C29ED"/>
    <w:rsid w:val="58B959EF"/>
    <w:rsid w:val="58ED38EB"/>
    <w:rsid w:val="590E1C7A"/>
    <w:rsid w:val="5A2F3A8F"/>
    <w:rsid w:val="5AC661A1"/>
    <w:rsid w:val="5CE75E42"/>
    <w:rsid w:val="5D79399F"/>
    <w:rsid w:val="5E0A2849"/>
    <w:rsid w:val="5E231B5D"/>
    <w:rsid w:val="5E9D0733"/>
    <w:rsid w:val="5ED35331"/>
    <w:rsid w:val="5F117C07"/>
    <w:rsid w:val="5F577D10"/>
    <w:rsid w:val="5F9C3975"/>
    <w:rsid w:val="5FB707AE"/>
    <w:rsid w:val="60705218"/>
    <w:rsid w:val="61693D2A"/>
    <w:rsid w:val="61B72CE8"/>
    <w:rsid w:val="62593D9F"/>
    <w:rsid w:val="62710DB1"/>
    <w:rsid w:val="62AC2121"/>
    <w:rsid w:val="63043D0B"/>
    <w:rsid w:val="63F7386F"/>
    <w:rsid w:val="64175CC0"/>
    <w:rsid w:val="641E704E"/>
    <w:rsid w:val="65280A61"/>
    <w:rsid w:val="655F16CC"/>
    <w:rsid w:val="65841133"/>
    <w:rsid w:val="66D14EBB"/>
    <w:rsid w:val="672A3F5C"/>
    <w:rsid w:val="674A015A"/>
    <w:rsid w:val="67784CC7"/>
    <w:rsid w:val="679A7D0A"/>
    <w:rsid w:val="683B2128"/>
    <w:rsid w:val="68447E42"/>
    <w:rsid w:val="685A261F"/>
    <w:rsid w:val="68B95597"/>
    <w:rsid w:val="69D34437"/>
    <w:rsid w:val="6A9242F2"/>
    <w:rsid w:val="6AD466B8"/>
    <w:rsid w:val="6AF9048F"/>
    <w:rsid w:val="6B11709A"/>
    <w:rsid w:val="6C7C0DB6"/>
    <w:rsid w:val="6C9360FF"/>
    <w:rsid w:val="6CA95923"/>
    <w:rsid w:val="6D8D2B4F"/>
    <w:rsid w:val="6E8E4DD0"/>
    <w:rsid w:val="6F3C2A7E"/>
    <w:rsid w:val="6F765F90"/>
    <w:rsid w:val="6FBB1BF5"/>
    <w:rsid w:val="712D08D1"/>
    <w:rsid w:val="716562BC"/>
    <w:rsid w:val="718D5813"/>
    <w:rsid w:val="71C64881"/>
    <w:rsid w:val="722577FA"/>
    <w:rsid w:val="73F25E01"/>
    <w:rsid w:val="74143FCA"/>
    <w:rsid w:val="7420296E"/>
    <w:rsid w:val="74890514"/>
    <w:rsid w:val="74B9247B"/>
    <w:rsid w:val="74DF1EE2"/>
    <w:rsid w:val="75DA6B4D"/>
    <w:rsid w:val="760D0CD1"/>
    <w:rsid w:val="7662101C"/>
    <w:rsid w:val="768A2321"/>
    <w:rsid w:val="768F5B89"/>
    <w:rsid w:val="76F36118"/>
    <w:rsid w:val="77020109"/>
    <w:rsid w:val="770E4D00"/>
    <w:rsid w:val="77100A78"/>
    <w:rsid w:val="77707769"/>
    <w:rsid w:val="77AD276B"/>
    <w:rsid w:val="77FA34D6"/>
    <w:rsid w:val="79586707"/>
    <w:rsid w:val="79894B12"/>
    <w:rsid w:val="798B24AE"/>
    <w:rsid w:val="7993773F"/>
    <w:rsid w:val="7A1E34AC"/>
    <w:rsid w:val="7A6F1F5A"/>
    <w:rsid w:val="7AAC6D0A"/>
    <w:rsid w:val="7ACE4ED2"/>
    <w:rsid w:val="7BAC4AE8"/>
    <w:rsid w:val="7BDF6C6B"/>
    <w:rsid w:val="7C7A131B"/>
    <w:rsid w:val="7D0270B5"/>
    <w:rsid w:val="7D1C7A4B"/>
    <w:rsid w:val="7D405814"/>
    <w:rsid w:val="7F25708B"/>
    <w:rsid w:val="7F871AF4"/>
    <w:rsid w:val="7FFF5B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qFormat="1" w:uiPriority="99"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semiHidden/>
    <w:unhideWhenUsed/>
    <w:qFormat/>
    <w:uiPriority w:val="0"/>
    <w:pPr>
      <w:spacing w:beforeAutospacing="1" w:afterAutospacing="1"/>
      <w:jc w:val="left"/>
      <w:outlineLvl w:val="2"/>
    </w:pPr>
    <w:rPr>
      <w:rFonts w:hint="eastAsia" w:ascii="宋体" w:hAnsi="宋体"/>
      <w:b/>
      <w:bCs/>
      <w:kern w:val="0"/>
      <w:sz w:val="27"/>
      <w:szCs w:val="27"/>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table of authorities"/>
    <w:basedOn w:val="1"/>
    <w:next w:val="1"/>
    <w:unhideWhenUsed/>
    <w:qFormat/>
    <w:uiPriority w:val="99"/>
    <w:pPr>
      <w:ind w:left="420" w:leftChars="200"/>
    </w:pPr>
  </w:style>
  <w:style w:type="paragraph" w:styleId="4">
    <w:name w:val="annotation text"/>
    <w:basedOn w:val="1"/>
    <w:link w:val="16"/>
    <w:unhideWhenUsed/>
    <w:qFormat/>
    <w:uiPriority w:val="99"/>
    <w:pPr>
      <w:jc w:val="left"/>
    </w:pPr>
  </w:style>
  <w:style w:type="paragraph" w:styleId="5">
    <w:name w:val="Balloon Text"/>
    <w:basedOn w:val="1"/>
    <w:link w:val="15"/>
    <w:unhideWhenUsed/>
    <w:qFormat/>
    <w:uiPriority w:val="99"/>
    <w:rPr>
      <w:sz w:val="18"/>
      <w:szCs w:val="18"/>
    </w:rPr>
  </w:style>
  <w:style w:type="paragraph" w:styleId="6">
    <w:name w:val="footer"/>
    <w:basedOn w:val="1"/>
    <w:link w:val="13"/>
    <w:unhideWhenUsed/>
    <w:qFormat/>
    <w:uiPriority w:val="99"/>
    <w:pPr>
      <w:tabs>
        <w:tab w:val="center" w:pos="4153"/>
        <w:tab w:val="right" w:pos="8306"/>
      </w:tabs>
      <w:snapToGrid w:val="0"/>
      <w:jc w:val="left"/>
    </w:pPr>
    <w:rPr>
      <w:sz w:val="18"/>
      <w:szCs w:val="18"/>
    </w:rPr>
  </w:style>
  <w:style w:type="paragraph" w:styleId="7">
    <w:name w:val="header"/>
    <w:basedOn w:val="1"/>
    <w:link w:val="17"/>
    <w:unhideWhenUsed/>
    <w:qFormat/>
    <w:uiPriority w:val="0"/>
    <w:pPr>
      <w:pBdr>
        <w:bottom w:val="single" w:color="auto" w:sz="6" w:space="1"/>
      </w:pBdr>
      <w:tabs>
        <w:tab w:val="center" w:pos="4153"/>
        <w:tab w:val="right" w:pos="8306"/>
      </w:tabs>
      <w:snapToGrid w:val="0"/>
      <w:jc w:val="center"/>
    </w:pPr>
    <w:rPr>
      <w:sz w:val="18"/>
      <w:szCs w:val="18"/>
    </w:rPr>
  </w:style>
  <w:style w:type="paragraph" w:styleId="8">
    <w:name w:val="annotation subject"/>
    <w:basedOn w:val="4"/>
    <w:next w:val="4"/>
    <w:link w:val="14"/>
    <w:unhideWhenUsed/>
    <w:qFormat/>
    <w:uiPriority w:val="99"/>
    <w:rPr>
      <w:b/>
      <w:bCs/>
    </w:rPr>
  </w:style>
  <w:style w:type="character" w:styleId="11">
    <w:name w:val="page number"/>
    <w:basedOn w:val="10"/>
    <w:qFormat/>
    <w:uiPriority w:val="0"/>
  </w:style>
  <w:style w:type="character" w:styleId="12">
    <w:name w:val="annotation reference"/>
    <w:unhideWhenUsed/>
    <w:qFormat/>
    <w:uiPriority w:val="99"/>
    <w:rPr>
      <w:sz w:val="21"/>
      <w:szCs w:val="21"/>
    </w:rPr>
  </w:style>
  <w:style w:type="character" w:customStyle="1" w:styleId="13">
    <w:name w:val="页脚 字符"/>
    <w:link w:val="6"/>
    <w:qFormat/>
    <w:uiPriority w:val="99"/>
    <w:rPr>
      <w:kern w:val="2"/>
      <w:sz w:val="18"/>
      <w:szCs w:val="18"/>
    </w:rPr>
  </w:style>
  <w:style w:type="character" w:customStyle="1" w:styleId="14">
    <w:name w:val="批注主题 字符"/>
    <w:link w:val="8"/>
    <w:semiHidden/>
    <w:qFormat/>
    <w:uiPriority w:val="99"/>
    <w:rPr>
      <w:b/>
      <w:bCs/>
      <w:kern w:val="2"/>
      <w:sz w:val="21"/>
      <w:szCs w:val="24"/>
    </w:rPr>
  </w:style>
  <w:style w:type="character" w:customStyle="1" w:styleId="15">
    <w:name w:val="批注框文本 字符"/>
    <w:link w:val="5"/>
    <w:semiHidden/>
    <w:qFormat/>
    <w:uiPriority w:val="99"/>
    <w:rPr>
      <w:kern w:val="2"/>
      <w:sz w:val="18"/>
      <w:szCs w:val="18"/>
    </w:rPr>
  </w:style>
  <w:style w:type="character" w:customStyle="1" w:styleId="16">
    <w:name w:val="批注文字 字符"/>
    <w:link w:val="4"/>
    <w:semiHidden/>
    <w:qFormat/>
    <w:uiPriority w:val="99"/>
    <w:rPr>
      <w:kern w:val="2"/>
      <w:sz w:val="21"/>
      <w:szCs w:val="24"/>
    </w:rPr>
  </w:style>
  <w:style w:type="character" w:customStyle="1" w:styleId="17">
    <w:name w:val="页眉 字符"/>
    <w:link w:val="7"/>
    <w:semiHidden/>
    <w:qFormat/>
    <w:uiPriority w:val="99"/>
    <w:rPr>
      <w:kern w:val="2"/>
      <w:sz w:val="18"/>
      <w:szCs w:val="18"/>
    </w:rPr>
  </w:style>
  <w:style w:type="paragraph" w:customStyle="1" w:styleId="18">
    <w:name w:val="列出段落1"/>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Legend (Beijing) Limited</Company>
  <Pages>2</Pages>
  <Words>773</Words>
  <Characters>1203</Characters>
  <Lines>59</Lines>
  <Paragraphs>66</Paragraphs>
  <TotalTime>12</TotalTime>
  <ScaleCrop>false</ScaleCrop>
  <LinksUpToDate>false</LinksUpToDate>
  <CharactersWithSpaces>1247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2024-06-06T09:19:00Z</dcterms:created>
  <dc:creator>Legend User</dc:creator>
  <cp:lastModifiedBy>毕美丽</cp:lastModifiedBy>
  <cp:lastPrinted>2024-06-05T08:37:00Z</cp:lastPrinted>
  <dcterms:modified xsi:type="dcterms:W3CDTF">2026-07-15T09:45:06Z</dcterms:modified>
  <dc:title>××产品质量监督抽查实施细则</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66068DD551A14F169889D8604EB6EBD9_13</vt:lpwstr>
  </property>
  <property fmtid="{D5CDD505-2E9C-101B-9397-08002B2CF9AE}" pid="4" name="KSOTemplateDocerSaveRecord">
    <vt:lpwstr>eyJoZGlkIjoiZTBhOWVkYmUxNzIxNjA1NDFiYzg1MTM4MjRiZDYyMTciLCJ1c2VySWQiOiIxMDgwMjg1NDM4In0=</vt:lpwstr>
  </property>
</Properties>
</file>