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6F5C1">
      <w:pPr>
        <w:snapToGrid w:val="0"/>
        <w:spacing w:line="360" w:lineRule="auto"/>
        <w:jc w:val="center"/>
        <w:rPr>
          <w:rFonts w:hint="eastAsia" w:ascii="方正小标宋简体" w:hAnsi="仿宋" w:eastAsia="方正小标宋简体" w:cs="方正仿宋简体"/>
          <w:color w:val="000000"/>
          <w:sz w:val="32"/>
          <w:szCs w:val="32"/>
        </w:rPr>
      </w:pPr>
      <w:r>
        <w:rPr>
          <w:rFonts w:hint="eastAsia" w:ascii="Times New Roman" w:hAnsi="Times New Roman" w:eastAsia="方正小标宋简体" w:cs="方正仿宋简体"/>
          <w:color w:val="000000"/>
          <w:sz w:val="32"/>
          <w:szCs w:val="32"/>
          <w:lang w:val="en-US" w:eastAsia="zh-CN"/>
        </w:rPr>
        <w:t>202</w:t>
      </w:r>
      <w:r>
        <w:rPr>
          <w:rFonts w:hint="eastAsia" w:eastAsia="方正小标宋简体" w:cs="方正仿宋简体"/>
          <w:color w:val="000000"/>
          <w:sz w:val="32"/>
          <w:szCs w:val="32"/>
          <w:lang w:val="en-US" w:eastAsia="zh-CN"/>
        </w:rPr>
        <w:t>6</w:t>
      </w:r>
      <w:r>
        <w:rPr>
          <w:rFonts w:hint="eastAsia" w:ascii="Times New Roman" w:hAnsi="Times New Roman" w:eastAsia="方正小标宋简体" w:cs="方正仿宋简体"/>
          <w:color w:val="000000"/>
          <w:sz w:val="32"/>
          <w:szCs w:val="32"/>
          <w:lang w:val="en-US" w:eastAsia="zh-CN"/>
        </w:rPr>
        <w:t>年大同</w:t>
      </w:r>
      <w:r>
        <w:rPr>
          <w:rFonts w:hint="eastAsia" w:ascii="Times New Roman" w:hAnsi="Times New Roman" w:eastAsia="方正小标宋简体" w:cs="方正仿宋简体"/>
          <w:color w:val="000000"/>
          <w:sz w:val="32"/>
          <w:szCs w:val="32"/>
          <w:lang w:eastAsia="zh-CN"/>
        </w:rPr>
        <w:t>市</w:t>
      </w:r>
      <w:r>
        <w:rPr>
          <w:rFonts w:hint="eastAsia" w:ascii="Times New Roman" w:hAnsi="Times New Roman" w:eastAsia="方正小标宋简体" w:cs="方正仿宋简体"/>
          <w:color w:val="000000"/>
          <w:sz w:val="32"/>
          <w:szCs w:val="32"/>
          <w:lang w:val="en-US" w:eastAsia="zh-CN"/>
        </w:rPr>
        <w:t>热轧型</w:t>
      </w:r>
      <w:r>
        <w:rPr>
          <w:rFonts w:hint="eastAsia" w:eastAsia="方正小标宋简体" w:cs="方正仿宋简体"/>
          <w:color w:val="000000"/>
          <w:sz w:val="32"/>
          <w:szCs w:val="32"/>
          <w:lang w:val="en-US" w:eastAsia="zh-CN"/>
        </w:rPr>
        <w:t>钢</w:t>
      </w:r>
      <w:r>
        <w:rPr>
          <w:rFonts w:hint="eastAsia" w:eastAsia="方正小标宋简体" w:cs="方正仿宋简体"/>
          <w:color w:val="000000"/>
          <w:sz w:val="32"/>
          <w:szCs w:val="32"/>
        </w:rPr>
        <w:t>产</w:t>
      </w:r>
      <w:r>
        <w:rPr>
          <w:rFonts w:hint="eastAsia" w:ascii="Times New Roman" w:hAnsi="Times New Roman" w:eastAsia="方正小标宋简体" w:cs="方正仿宋简体"/>
          <w:color w:val="000000"/>
          <w:sz w:val="32"/>
          <w:szCs w:val="32"/>
        </w:rPr>
        <w:t>品质量监</w:t>
      </w:r>
      <w:r>
        <w:rPr>
          <w:rFonts w:hint="eastAsia" w:eastAsia="方正小标宋简体" w:cs="方正仿宋简体"/>
          <w:color w:val="000000"/>
          <w:sz w:val="32"/>
          <w:szCs w:val="32"/>
        </w:rPr>
        <w:t>督抽查实施细则</w:t>
      </w:r>
    </w:p>
    <w:p w14:paraId="549EC441">
      <w:pPr>
        <w:snapToGrid w:val="0"/>
        <w:spacing w:line="440" w:lineRule="exact"/>
        <w:rPr>
          <w:rFonts w:hint="eastAsia" w:ascii="黑体" w:hAnsi="宋体" w:eastAsia="黑体"/>
          <w:color w:val="000000"/>
          <w:szCs w:val="21"/>
        </w:rPr>
      </w:pPr>
      <w:r>
        <w:rPr>
          <w:rFonts w:hint="eastAsia" w:ascii="黑体" w:hAnsi="宋体" w:eastAsia="黑体"/>
          <w:color w:val="000000"/>
          <w:szCs w:val="21"/>
        </w:rPr>
        <w:t>1 抽样方法</w:t>
      </w:r>
    </w:p>
    <w:p w14:paraId="053714C9">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以随机抽样的方式在被抽样生产者、销售者的待销产品中抽取。</w:t>
      </w:r>
    </w:p>
    <w:p w14:paraId="66D9149E">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随机数一般可使用随机数表等方法产生。</w:t>
      </w:r>
    </w:p>
    <w:p w14:paraId="61E29E9E">
      <w:pPr>
        <w:snapToGrid w:val="0"/>
        <w:spacing w:line="440" w:lineRule="exact"/>
        <w:ind w:firstLine="420" w:firstLineChars="200"/>
        <w:rPr>
          <w:rFonts w:hint="eastAsia" w:ascii="宋体" w:hAnsi="宋体"/>
          <w:szCs w:val="21"/>
        </w:rPr>
      </w:pPr>
      <w:r>
        <w:rPr>
          <w:rFonts w:hint="eastAsia" w:ascii="宋体" w:hAnsi="宋体" w:eastAsia="宋体" w:cs="宋体"/>
          <w:color w:val="auto"/>
          <w:sz w:val="21"/>
          <w:szCs w:val="21"/>
          <w:highlight w:val="none"/>
        </w:rPr>
        <w:t>在同一批次的产品中抽取3根型钢，每根型钢截取的长度为2000mm，逐根顺序编号为1～3，再把每根型钢分成2支长度为1000mm的样品，2支样品逐支编号标记，并一一对应（如1-a，1-b），标记a的3支样品为检验样品，标记b的3支样品为备用样品</w:t>
      </w:r>
      <w:r>
        <w:rPr>
          <w:rFonts w:hint="eastAsia" w:ascii="宋体" w:hAnsi="宋体"/>
          <w:szCs w:val="21"/>
        </w:rPr>
        <w:t xml:space="preserve">。 </w:t>
      </w:r>
    </w:p>
    <w:p w14:paraId="4DEBEC56">
      <w:pPr>
        <w:snapToGrid w:val="0"/>
        <w:spacing w:line="440" w:lineRule="exact"/>
        <w:rPr>
          <w:rFonts w:hint="eastAsia" w:ascii="黑体" w:hAnsi="宋体" w:eastAsia="黑体"/>
          <w:color w:val="000000"/>
          <w:szCs w:val="21"/>
        </w:rPr>
      </w:pPr>
      <w:r>
        <w:rPr>
          <w:rFonts w:hint="eastAsia" w:ascii="黑体" w:hAnsi="宋体" w:eastAsia="黑体"/>
          <w:color w:val="000000"/>
          <w:szCs w:val="21"/>
        </w:rPr>
        <w:t>2 检验依据</w:t>
      </w:r>
    </w:p>
    <w:p w14:paraId="6ED69062">
      <w:pPr>
        <w:snapToGrid w:val="0"/>
        <w:spacing w:line="4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表1 </w:t>
      </w:r>
      <w:r>
        <w:rPr>
          <w:rFonts w:hint="eastAsia" w:ascii="宋体" w:hAnsi="宋体"/>
          <w:color w:val="000000"/>
          <w:szCs w:val="21"/>
          <w:lang w:val="en-US" w:eastAsia="zh-CN"/>
        </w:rPr>
        <w:t>热轧型钢</w:t>
      </w:r>
      <w:r>
        <w:rPr>
          <w:rFonts w:hint="eastAsia" w:ascii="宋体" w:hAnsi="宋体" w:eastAsia="宋体" w:cs="宋体"/>
          <w:color w:val="000000"/>
          <w:sz w:val="21"/>
          <w:szCs w:val="21"/>
        </w:rPr>
        <w:t>检验项目</w:t>
      </w:r>
    </w:p>
    <w:tbl>
      <w:tblPr>
        <w:tblStyle w:val="9"/>
        <w:tblW w:w="47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4138"/>
        <w:gridCol w:w="3649"/>
      </w:tblGrid>
      <w:tr w14:paraId="61D8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6" w:type="pct"/>
            <w:vAlign w:val="center"/>
          </w:tcPr>
          <w:p w14:paraId="2AB2EB0B">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2393" w:type="pct"/>
            <w:vAlign w:val="center"/>
          </w:tcPr>
          <w:p w14:paraId="1482040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检验项目</w:t>
            </w:r>
          </w:p>
        </w:tc>
        <w:tc>
          <w:tcPr>
            <w:tcW w:w="2110" w:type="pct"/>
            <w:vAlign w:val="center"/>
          </w:tcPr>
          <w:p w14:paraId="7EEB7DCD">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检验方法</w:t>
            </w:r>
          </w:p>
        </w:tc>
      </w:tr>
      <w:tr w14:paraId="38F0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6" w:type="pct"/>
            <w:vAlign w:val="center"/>
          </w:tcPr>
          <w:p w14:paraId="21EE64BC">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2393" w:type="pct"/>
            <w:vAlign w:val="center"/>
          </w:tcPr>
          <w:p w14:paraId="5F5EA7B1">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屈服强度</w:t>
            </w:r>
          </w:p>
        </w:tc>
        <w:tc>
          <w:tcPr>
            <w:tcW w:w="2110" w:type="pct"/>
            <w:vAlign w:val="center"/>
          </w:tcPr>
          <w:p w14:paraId="3B4F627D">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228.1-2021</w:t>
            </w:r>
          </w:p>
        </w:tc>
      </w:tr>
      <w:tr w14:paraId="530E0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6" w:type="pct"/>
            <w:shd w:val="clear" w:color="auto" w:fill="auto"/>
            <w:vAlign w:val="center"/>
          </w:tcPr>
          <w:p w14:paraId="78583A26">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w:t>
            </w:r>
          </w:p>
        </w:tc>
        <w:tc>
          <w:tcPr>
            <w:tcW w:w="2393" w:type="pct"/>
            <w:vAlign w:val="center"/>
          </w:tcPr>
          <w:p w14:paraId="095AF2D2">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抗拉强度</w:t>
            </w:r>
          </w:p>
        </w:tc>
        <w:tc>
          <w:tcPr>
            <w:tcW w:w="2110" w:type="pct"/>
            <w:vAlign w:val="center"/>
          </w:tcPr>
          <w:p w14:paraId="321D097C">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228.1-2021</w:t>
            </w:r>
          </w:p>
        </w:tc>
      </w:tr>
      <w:tr w14:paraId="590C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6" w:type="pct"/>
            <w:shd w:val="clear" w:color="auto" w:fill="auto"/>
            <w:vAlign w:val="center"/>
          </w:tcPr>
          <w:p w14:paraId="47CE539E">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3</w:t>
            </w:r>
          </w:p>
        </w:tc>
        <w:tc>
          <w:tcPr>
            <w:tcW w:w="2393" w:type="pct"/>
            <w:vAlign w:val="center"/>
          </w:tcPr>
          <w:p w14:paraId="32725F2A">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断后伸长率</w:t>
            </w:r>
          </w:p>
        </w:tc>
        <w:tc>
          <w:tcPr>
            <w:tcW w:w="2110" w:type="pct"/>
            <w:vAlign w:val="center"/>
          </w:tcPr>
          <w:p w14:paraId="285F1B6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228.1-2021</w:t>
            </w:r>
          </w:p>
        </w:tc>
      </w:tr>
      <w:tr w14:paraId="2351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6" w:type="pct"/>
            <w:shd w:val="clear" w:color="auto" w:fill="auto"/>
            <w:vAlign w:val="center"/>
          </w:tcPr>
          <w:p w14:paraId="32348CD4">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4</w:t>
            </w:r>
          </w:p>
        </w:tc>
        <w:tc>
          <w:tcPr>
            <w:tcW w:w="2393" w:type="pct"/>
            <w:vAlign w:val="center"/>
          </w:tcPr>
          <w:p w14:paraId="21987CD7">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冲击试验</w:t>
            </w:r>
          </w:p>
        </w:tc>
        <w:tc>
          <w:tcPr>
            <w:tcW w:w="2110" w:type="pct"/>
            <w:vAlign w:val="center"/>
          </w:tcPr>
          <w:p w14:paraId="52AD6D16">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229-2020</w:t>
            </w:r>
          </w:p>
        </w:tc>
      </w:tr>
      <w:tr w14:paraId="7433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6" w:type="pct"/>
            <w:shd w:val="clear" w:color="auto" w:fill="auto"/>
            <w:vAlign w:val="center"/>
          </w:tcPr>
          <w:p w14:paraId="7119F05B">
            <w:pPr>
              <w:snapToGrid w:val="0"/>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5</w:t>
            </w:r>
          </w:p>
        </w:tc>
        <w:tc>
          <w:tcPr>
            <w:tcW w:w="2393" w:type="pct"/>
            <w:vAlign w:val="center"/>
          </w:tcPr>
          <w:p w14:paraId="0D62A507">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弯曲试验</w:t>
            </w:r>
          </w:p>
        </w:tc>
        <w:tc>
          <w:tcPr>
            <w:tcW w:w="2110" w:type="pct"/>
            <w:vAlign w:val="center"/>
          </w:tcPr>
          <w:p w14:paraId="08F7595A">
            <w:pPr>
              <w:snapToGrid w:val="0"/>
              <w:spacing w:line="240" w:lineRule="auto"/>
              <w:jc w:val="center"/>
              <w:rPr>
                <w:rFonts w:hint="eastAsia" w:ascii="宋体" w:hAnsi="宋体" w:eastAsia="宋体" w:cs="宋体"/>
                <w:color w:val="000000"/>
                <w:sz w:val="21"/>
                <w:szCs w:val="21"/>
              </w:rPr>
            </w:pPr>
            <w:r>
              <w:rPr>
                <w:rFonts w:hint="eastAsia" w:ascii="宋体" w:hAnsi="宋体"/>
                <w:color w:val="000000"/>
                <w:szCs w:val="21"/>
                <w:lang w:val="en-US" w:eastAsia="zh-CN"/>
              </w:rPr>
              <w:t>GB/T 232-2024</w:t>
            </w:r>
          </w:p>
        </w:tc>
      </w:tr>
      <w:tr w14:paraId="28FA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6" w:type="pct"/>
            <w:shd w:val="clear" w:color="auto" w:fill="auto"/>
            <w:vAlign w:val="center"/>
          </w:tcPr>
          <w:p w14:paraId="76375974">
            <w:pPr>
              <w:snapToGrid w:val="0"/>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6</w:t>
            </w:r>
          </w:p>
        </w:tc>
        <w:tc>
          <w:tcPr>
            <w:tcW w:w="2393" w:type="pct"/>
            <w:vAlign w:val="center"/>
          </w:tcPr>
          <w:p w14:paraId="2DFAD469">
            <w:pPr>
              <w:snapToGrid w:val="0"/>
              <w:spacing w:line="240" w:lineRule="auto"/>
              <w:jc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尺寸</w:t>
            </w:r>
            <w:r>
              <w:rPr>
                <w:rFonts w:hint="eastAsia" w:ascii="宋体" w:hAnsi="宋体" w:cs="宋体"/>
                <w:color w:val="000000"/>
                <w:sz w:val="21"/>
                <w:szCs w:val="21"/>
                <w:lang w:val="en-US" w:eastAsia="zh-CN"/>
              </w:rPr>
              <w:t>、</w:t>
            </w:r>
            <w:r>
              <w:rPr>
                <w:rFonts w:hint="eastAsia" w:ascii="宋体" w:hAnsi="宋体" w:eastAsia="宋体" w:cs="宋体"/>
                <w:color w:val="000000"/>
                <w:sz w:val="21"/>
                <w:szCs w:val="21"/>
                <w:lang w:val="en-US" w:eastAsia="zh-CN"/>
              </w:rPr>
              <w:t>外形</w:t>
            </w:r>
            <w:r>
              <w:rPr>
                <w:rFonts w:hint="eastAsia" w:ascii="宋体" w:hAnsi="宋体" w:cs="宋体"/>
                <w:color w:val="000000"/>
                <w:sz w:val="21"/>
                <w:szCs w:val="21"/>
                <w:lang w:val="en-US" w:eastAsia="zh-CN"/>
              </w:rPr>
              <w:t>允许偏差</w:t>
            </w:r>
          </w:p>
        </w:tc>
        <w:tc>
          <w:tcPr>
            <w:tcW w:w="2110" w:type="pct"/>
            <w:vAlign w:val="center"/>
          </w:tcPr>
          <w:p w14:paraId="770E01BD">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706-2016</w:t>
            </w:r>
          </w:p>
        </w:tc>
      </w:tr>
    </w:tbl>
    <w:p w14:paraId="5AD82912">
      <w:pPr>
        <w:snapToGrid w:val="0"/>
        <w:spacing w:line="440" w:lineRule="exact"/>
        <w:jc w:val="center"/>
        <w:rPr>
          <w:rFonts w:hint="eastAsia" w:ascii="宋体" w:hAnsi="宋体" w:eastAsia="宋体" w:cs="宋体"/>
          <w:color w:val="000000"/>
          <w:sz w:val="21"/>
          <w:szCs w:val="21"/>
        </w:rPr>
      </w:pPr>
    </w:p>
    <w:p w14:paraId="4E20F540">
      <w:pPr>
        <w:snapToGrid w:val="0"/>
        <w:spacing w:line="4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表</w:t>
      </w:r>
      <w:r>
        <w:rPr>
          <w:rFonts w:hint="eastAsia" w:ascii="宋体" w:hAnsi="宋体" w:cs="宋体"/>
          <w:color w:val="000000"/>
          <w:sz w:val="21"/>
          <w:szCs w:val="21"/>
          <w:lang w:val="en-US" w:eastAsia="zh-CN"/>
        </w:rPr>
        <w:t>2</w:t>
      </w:r>
      <w:r>
        <w:rPr>
          <w:rFonts w:hint="eastAsia" w:ascii="宋体" w:hAnsi="宋体" w:eastAsia="宋体" w:cs="宋体"/>
          <w:color w:val="000000"/>
          <w:sz w:val="21"/>
          <w:szCs w:val="21"/>
        </w:rPr>
        <w:t xml:space="preserve"> </w:t>
      </w:r>
      <w:r>
        <w:rPr>
          <w:rFonts w:hint="eastAsia" w:ascii="宋体" w:hAnsi="宋体"/>
          <w:color w:val="000000"/>
          <w:szCs w:val="21"/>
          <w:lang w:val="en-US" w:eastAsia="zh-CN"/>
        </w:rPr>
        <w:t>热轧H型钢和剖分T型钢</w:t>
      </w:r>
      <w:r>
        <w:rPr>
          <w:rFonts w:hint="eastAsia" w:ascii="宋体" w:hAnsi="宋体" w:eastAsia="宋体" w:cs="宋体"/>
          <w:color w:val="000000"/>
          <w:sz w:val="21"/>
          <w:szCs w:val="21"/>
        </w:rPr>
        <w:t>检验项目</w:t>
      </w:r>
    </w:p>
    <w:tbl>
      <w:tblPr>
        <w:tblStyle w:val="9"/>
        <w:tblW w:w="47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4143"/>
        <w:gridCol w:w="3653"/>
      </w:tblGrid>
      <w:tr w14:paraId="36B04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6" w:type="pct"/>
            <w:vAlign w:val="center"/>
          </w:tcPr>
          <w:p w14:paraId="7024D18E">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2393" w:type="pct"/>
            <w:vAlign w:val="center"/>
          </w:tcPr>
          <w:p w14:paraId="3640D7A2">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检验项目</w:t>
            </w:r>
          </w:p>
        </w:tc>
        <w:tc>
          <w:tcPr>
            <w:tcW w:w="2110" w:type="pct"/>
            <w:vAlign w:val="center"/>
          </w:tcPr>
          <w:p w14:paraId="2509ABB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检验方法</w:t>
            </w:r>
          </w:p>
        </w:tc>
      </w:tr>
      <w:tr w14:paraId="525E9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6" w:type="pct"/>
            <w:vAlign w:val="center"/>
          </w:tcPr>
          <w:p w14:paraId="05B8B735">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2393" w:type="pct"/>
            <w:vAlign w:val="center"/>
          </w:tcPr>
          <w:p w14:paraId="332178E3">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屈服强度</w:t>
            </w:r>
          </w:p>
        </w:tc>
        <w:tc>
          <w:tcPr>
            <w:tcW w:w="2110" w:type="pct"/>
            <w:vAlign w:val="center"/>
          </w:tcPr>
          <w:p w14:paraId="1E60E50D">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228.1-2021</w:t>
            </w:r>
          </w:p>
        </w:tc>
      </w:tr>
      <w:tr w14:paraId="1050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6" w:type="pct"/>
            <w:shd w:val="clear" w:color="auto" w:fill="auto"/>
            <w:vAlign w:val="center"/>
          </w:tcPr>
          <w:p w14:paraId="2A5E0C59">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w:t>
            </w:r>
          </w:p>
        </w:tc>
        <w:tc>
          <w:tcPr>
            <w:tcW w:w="2393" w:type="pct"/>
            <w:vAlign w:val="center"/>
          </w:tcPr>
          <w:p w14:paraId="50ED6553">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抗拉强度</w:t>
            </w:r>
          </w:p>
        </w:tc>
        <w:tc>
          <w:tcPr>
            <w:tcW w:w="2110" w:type="pct"/>
            <w:vAlign w:val="center"/>
          </w:tcPr>
          <w:p w14:paraId="107170E5">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228.1-2021</w:t>
            </w:r>
          </w:p>
        </w:tc>
      </w:tr>
      <w:tr w14:paraId="0B20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6" w:type="pct"/>
            <w:shd w:val="clear" w:color="auto" w:fill="auto"/>
            <w:vAlign w:val="center"/>
          </w:tcPr>
          <w:p w14:paraId="4D25F019">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3</w:t>
            </w:r>
          </w:p>
        </w:tc>
        <w:tc>
          <w:tcPr>
            <w:tcW w:w="2393" w:type="pct"/>
            <w:vAlign w:val="center"/>
          </w:tcPr>
          <w:p w14:paraId="70808F4A">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断后伸长率</w:t>
            </w:r>
          </w:p>
        </w:tc>
        <w:tc>
          <w:tcPr>
            <w:tcW w:w="2110" w:type="pct"/>
            <w:vAlign w:val="center"/>
          </w:tcPr>
          <w:p w14:paraId="1DFB42B0">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228.1-2021</w:t>
            </w:r>
          </w:p>
        </w:tc>
      </w:tr>
      <w:tr w14:paraId="04F6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6" w:type="pct"/>
            <w:shd w:val="clear" w:color="auto" w:fill="auto"/>
            <w:vAlign w:val="center"/>
          </w:tcPr>
          <w:p w14:paraId="2E7E009D">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4</w:t>
            </w:r>
          </w:p>
        </w:tc>
        <w:tc>
          <w:tcPr>
            <w:tcW w:w="2393" w:type="pct"/>
            <w:vAlign w:val="center"/>
          </w:tcPr>
          <w:p w14:paraId="2DC5617D">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冲击试验</w:t>
            </w:r>
          </w:p>
        </w:tc>
        <w:tc>
          <w:tcPr>
            <w:tcW w:w="2110" w:type="pct"/>
            <w:vAlign w:val="center"/>
          </w:tcPr>
          <w:p w14:paraId="27E8F2F0">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229-2020</w:t>
            </w:r>
          </w:p>
        </w:tc>
      </w:tr>
      <w:tr w14:paraId="7ED5E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6" w:type="pct"/>
            <w:shd w:val="clear" w:color="auto" w:fill="auto"/>
            <w:vAlign w:val="center"/>
          </w:tcPr>
          <w:p w14:paraId="7D2452D5">
            <w:pPr>
              <w:snapToGrid w:val="0"/>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5</w:t>
            </w:r>
          </w:p>
        </w:tc>
        <w:tc>
          <w:tcPr>
            <w:tcW w:w="2393" w:type="pct"/>
            <w:vAlign w:val="center"/>
          </w:tcPr>
          <w:p w14:paraId="226291B8">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弯曲试验</w:t>
            </w:r>
          </w:p>
        </w:tc>
        <w:tc>
          <w:tcPr>
            <w:tcW w:w="2110" w:type="pct"/>
            <w:vAlign w:val="center"/>
          </w:tcPr>
          <w:p w14:paraId="31E6AD78">
            <w:pPr>
              <w:snapToGrid w:val="0"/>
              <w:spacing w:line="240" w:lineRule="auto"/>
              <w:jc w:val="center"/>
              <w:rPr>
                <w:rFonts w:hint="eastAsia" w:ascii="宋体" w:hAnsi="宋体" w:eastAsia="宋体" w:cs="宋体"/>
                <w:color w:val="000000"/>
                <w:sz w:val="21"/>
                <w:szCs w:val="21"/>
              </w:rPr>
            </w:pPr>
            <w:r>
              <w:rPr>
                <w:rFonts w:hint="eastAsia" w:ascii="宋体" w:hAnsi="宋体"/>
                <w:color w:val="000000"/>
                <w:szCs w:val="21"/>
                <w:lang w:val="en-US" w:eastAsia="zh-CN"/>
              </w:rPr>
              <w:t>GB/T 232-2024</w:t>
            </w:r>
          </w:p>
        </w:tc>
      </w:tr>
      <w:tr w14:paraId="34B31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6" w:type="pct"/>
            <w:shd w:val="clear" w:color="auto" w:fill="auto"/>
            <w:vAlign w:val="center"/>
          </w:tcPr>
          <w:p w14:paraId="08C8A80B">
            <w:pPr>
              <w:snapToGrid w:val="0"/>
              <w:spacing w:line="240" w:lineRule="auto"/>
              <w:jc w:val="center"/>
              <w:rPr>
                <w:rFonts w:hint="default"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6</w:t>
            </w:r>
            <w:bookmarkStart w:id="0" w:name="_GoBack"/>
            <w:bookmarkEnd w:id="0"/>
          </w:p>
        </w:tc>
        <w:tc>
          <w:tcPr>
            <w:tcW w:w="2393" w:type="pct"/>
            <w:vAlign w:val="center"/>
          </w:tcPr>
          <w:p w14:paraId="0726B7C2">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尺寸</w:t>
            </w:r>
            <w:r>
              <w:rPr>
                <w:rFonts w:hint="eastAsia" w:ascii="宋体" w:hAnsi="宋体" w:cs="宋体"/>
                <w:color w:val="000000"/>
                <w:sz w:val="21"/>
                <w:szCs w:val="21"/>
                <w:lang w:val="en-US" w:eastAsia="zh-CN"/>
              </w:rPr>
              <w:t>、</w:t>
            </w:r>
            <w:r>
              <w:rPr>
                <w:rFonts w:hint="eastAsia" w:ascii="宋体" w:hAnsi="宋体" w:eastAsia="宋体" w:cs="宋体"/>
                <w:color w:val="000000"/>
                <w:sz w:val="21"/>
                <w:szCs w:val="21"/>
                <w:lang w:val="en-US" w:eastAsia="zh-CN"/>
              </w:rPr>
              <w:t>外形</w:t>
            </w:r>
            <w:r>
              <w:rPr>
                <w:rFonts w:hint="eastAsia" w:ascii="宋体" w:hAnsi="宋体" w:cs="宋体"/>
                <w:color w:val="000000"/>
                <w:sz w:val="21"/>
                <w:szCs w:val="21"/>
                <w:lang w:val="en-US" w:eastAsia="zh-CN"/>
              </w:rPr>
              <w:t>允许偏差</w:t>
            </w:r>
          </w:p>
        </w:tc>
        <w:tc>
          <w:tcPr>
            <w:tcW w:w="2110" w:type="pct"/>
            <w:vAlign w:val="center"/>
          </w:tcPr>
          <w:p w14:paraId="61C5DEE3">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11263-2024</w:t>
            </w:r>
          </w:p>
        </w:tc>
      </w:tr>
    </w:tbl>
    <w:p w14:paraId="17938201">
      <w:pPr>
        <w:adjustRightInd w:val="0"/>
        <w:snapToGrid w:val="0"/>
        <w:spacing w:line="440" w:lineRule="exact"/>
        <w:ind w:firstLine="420" w:firstLineChars="200"/>
        <w:rPr>
          <w:szCs w:val="21"/>
        </w:rPr>
      </w:pPr>
      <w:r>
        <w:rPr>
          <w:rFonts w:hint="eastAsia" w:ascii="宋体" w:hAnsi="宋体" w:eastAsia="宋体" w:cs="宋体"/>
          <w:sz w:val="21"/>
          <w:szCs w:val="21"/>
        </w:rPr>
        <w:t>执行企业标准、团体标准、地方标准的产品，检验项目参照上述内容执行</w:t>
      </w:r>
      <w:r>
        <w:rPr>
          <w:rFonts w:hint="eastAsia"/>
          <w:szCs w:val="21"/>
        </w:rPr>
        <w:t>。</w:t>
      </w:r>
    </w:p>
    <w:p w14:paraId="5E628347">
      <w:pPr>
        <w:spacing w:line="360" w:lineRule="auto"/>
        <w:rPr>
          <w:rFonts w:hint="eastAsia" w:ascii="黑体" w:hAnsi="黑体" w:eastAsia="黑体"/>
          <w:color w:val="000000"/>
          <w:szCs w:val="21"/>
        </w:rPr>
      </w:pPr>
      <w:r>
        <w:rPr>
          <w:rFonts w:hint="eastAsia" w:ascii="黑体" w:hAnsi="黑体" w:eastAsia="黑体"/>
          <w:color w:val="000000"/>
          <w:szCs w:val="21"/>
        </w:rPr>
        <w:t>3 判定规则</w:t>
      </w:r>
    </w:p>
    <w:p w14:paraId="045314DD">
      <w:pPr>
        <w:snapToGrid w:val="0"/>
        <w:spacing w:line="440" w:lineRule="exact"/>
        <w:rPr>
          <w:rFonts w:hint="eastAsia" w:ascii="宋体" w:hAnsi="宋体" w:eastAsia="宋体" w:cs="Times New Roman"/>
          <w:color w:val="000000"/>
          <w:szCs w:val="21"/>
        </w:rPr>
      </w:pPr>
      <w:r>
        <w:rPr>
          <w:rFonts w:hint="eastAsia" w:ascii="宋体" w:hAnsi="宋体" w:eastAsia="宋体" w:cs="Times New Roman"/>
          <w:color w:val="000000"/>
          <w:szCs w:val="21"/>
        </w:rPr>
        <w:t>3.1依据标准</w:t>
      </w:r>
    </w:p>
    <w:p w14:paraId="1C39FCAF">
      <w:pPr>
        <w:snapToGrid w:val="0"/>
        <w:spacing w:line="440" w:lineRule="exact"/>
        <w:ind w:firstLine="359" w:firstLineChars="171"/>
        <w:rPr>
          <w:rFonts w:hint="eastAsia" w:ascii="宋体" w:hAnsi="宋体"/>
          <w:color w:val="000000"/>
          <w:szCs w:val="21"/>
          <w:lang w:val="en-US" w:eastAsia="zh-CN"/>
        </w:rPr>
      </w:pPr>
      <w:r>
        <w:rPr>
          <w:rFonts w:hint="eastAsia" w:ascii="宋体" w:hAnsi="宋体"/>
          <w:color w:val="000000"/>
          <w:szCs w:val="21"/>
          <w:lang w:val="en-US" w:eastAsia="zh-CN"/>
        </w:rPr>
        <w:t>GB/T 706-2016《热轧型钢》</w:t>
      </w:r>
    </w:p>
    <w:p w14:paraId="3BAB874E">
      <w:pPr>
        <w:snapToGrid w:val="0"/>
        <w:spacing w:line="440" w:lineRule="exact"/>
        <w:ind w:firstLine="359" w:firstLineChars="171"/>
        <w:rPr>
          <w:rFonts w:hint="eastAsia" w:ascii="宋体" w:hAnsi="宋体"/>
          <w:color w:val="000000"/>
          <w:szCs w:val="21"/>
          <w:lang w:val="en-US" w:eastAsia="zh-CN"/>
        </w:rPr>
      </w:pPr>
      <w:r>
        <w:rPr>
          <w:rFonts w:hint="eastAsia" w:ascii="宋体" w:hAnsi="宋体"/>
          <w:color w:val="000000"/>
          <w:szCs w:val="21"/>
          <w:lang w:val="en-US" w:eastAsia="zh-CN"/>
        </w:rPr>
        <w:t xml:space="preserve">GB/T 11263-2024《热轧H型钢和剖分T型钢》 </w:t>
      </w:r>
    </w:p>
    <w:p w14:paraId="59136E26">
      <w:pPr>
        <w:snapToGrid w:val="0"/>
        <w:spacing w:line="440" w:lineRule="exact"/>
        <w:ind w:firstLine="359" w:firstLineChars="171"/>
        <w:rPr>
          <w:rFonts w:hint="eastAsia" w:ascii="宋体" w:hAnsi="宋体"/>
          <w:color w:val="000000"/>
          <w:szCs w:val="21"/>
        </w:rPr>
      </w:pPr>
      <w:r>
        <w:rPr>
          <w:rFonts w:hint="eastAsia" w:ascii="宋体" w:hAnsi="宋体"/>
          <w:color w:val="000000"/>
          <w:szCs w:val="21"/>
        </w:rPr>
        <w:t>现行有效的企业标准、团体标准、地方标准及产品明示质量要求</w:t>
      </w:r>
    </w:p>
    <w:p w14:paraId="59758F21">
      <w:pPr>
        <w:snapToGrid w:val="0"/>
        <w:spacing w:line="440" w:lineRule="exact"/>
        <w:rPr>
          <w:rFonts w:hint="eastAsia" w:ascii="宋体" w:hAnsi="宋体"/>
          <w:color w:val="000000"/>
          <w:szCs w:val="21"/>
        </w:rPr>
      </w:pPr>
      <w:r>
        <w:rPr>
          <w:rFonts w:hint="eastAsia" w:ascii="宋体" w:hAnsi="宋体"/>
          <w:color w:val="000000"/>
          <w:szCs w:val="21"/>
        </w:rPr>
        <w:t>3.2判定原则</w:t>
      </w:r>
    </w:p>
    <w:p w14:paraId="0E00D157">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经检验，检验项目全部合格，判定为被抽查产品所检项目未发现不合格；检验项目中任一项或一项以上不合格，判定为被抽查产品不合格。</w:t>
      </w:r>
    </w:p>
    <w:p w14:paraId="506B9CBE">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4B691052">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18A3F7D4">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14:paraId="656731EA">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63035382">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5" w:right="1361" w:bottom="136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FCC7C06-15D8-4023-84CA-9F2031C54DB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16C74603-3B1C-4CD7-BC9B-3B634380D627}"/>
  </w:font>
  <w:font w:name="仿宋">
    <w:panose1 w:val="02010609060101010101"/>
    <w:charset w:val="86"/>
    <w:family w:val="modern"/>
    <w:pitch w:val="default"/>
    <w:sig w:usb0="800002BF" w:usb1="38CF7CFA" w:usb2="00000016" w:usb3="00000000" w:csb0="00040001" w:csb1="00000000"/>
    <w:embedRegular r:id="rId3" w:fontKey="{00E86D6A-C053-44E9-99D4-0E4863F30734}"/>
  </w:font>
  <w:font w:name="方正仿宋简体">
    <w:altName w:val="微软雅黑"/>
    <w:panose1 w:val="02000000000000000000"/>
    <w:charset w:val="86"/>
    <w:family w:val="auto"/>
    <w:pitch w:val="default"/>
    <w:sig w:usb0="00000000" w:usb1="00000000" w:usb2="00000012" w:usb3="00000000" w:csb0="00040001" w:csb1="00000000"/>
    <w:embedRegular r:id="rId4" w:fontKey="{DF11759E-06EF-44BC-871E-7BF0F7C48787}"/>
  </w:font>
  <w:font w:name="微软雅黑">
    <w:panose1 w:val="020B0503020204020204"/>
    <w:charset w:val="86"/>
    <w:family w:val="auto"/>
    <w:pitch w:val="default"/>
    <w:sig w:usb0="80000287" w:usb1="2ACF3C50" w:usb2="00000016" w:usb3="00000000" w:csb0="0004001F" w:csb1="00000000"/>
  </w:font>
  <w:font w:name="WPSEMBED7">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AE38E">
    <w:pPr>
      <w:pStyle w:val="6"/>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14:paraId="59789CC5">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FC710">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06A48629">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43F9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VhY2ZjNTcyNDUwMGIyMDVkY2QxZWZjOTY3NDk1MjEifQ=="/>
  </w:docVars>
  <w:rsids>
    <w:rsidRoot w:val="00172A27"/>
    <w:rsid w:val="000058F4"/>
    <w:rsid w:val="000333AE"/>
    <w:rsid w:val="00051A44"/>
    <w:rsid w:val="00081CBD"/>
    <w:rsid w:val="000976DE"/>
    <w:rsid w:val="000B6F1F"/>
    <w:rsid w:val="000D567E"/>
    <w:rsid w:val="00123D1C"/>
    <w:rsid w:val="00132CF9"/>
    <w:rsid w:val="00166132"/>
    <w:rsid w:val="00172A27"/>
    <w:rsid w:val="001809DD"/>
    <w:rsid w:val="001D1B89"/>
    <w:rsid w:val="00214C51"/>
    <w:rsid w:val="00232530"/>
    <w:rsid w:val="00234DDD"/>
    <w:rsid w:val="00253624"/>
    <w:rsid w:val="002769A5"/>
    <w:rsid w:val="002924DC"/>
    <w:rsid w:val="002D7F8A"/>
    <w:rsid w:val="002E0D1D"/>
    <w:rsid w:val="003203A3"/>
    <w:rsid w:val="00365CBE"/>
    <w:rsid w:val="003A7D30"/>
    <w:rsid w:val="003B7830"/>
    <w:rsid w:val="003C388C"/>
    <w:rsid w:val="003D09A1"/>
    <w:rsid w:val="003E61BF"/>
    <w:rsid w:val="004104AC"/>
    <w:rsid w:val="00445E86"/>
    <w:rsid w:val="00447AD2"/>
    <w:rsid w:val="0045434D"/>
    <w:rsid w:val="00474E04"/>
    <w:rsid w:val="00475B7D"/>
    <w:rsid w:val="00497ADE"/>
    <w:rsid w:val="004D0C5A"/>
    <w:rsid w:val="004D184C"/>
    <w:rsid w:val="004E1396"/>
    <w:rsid w:val="004E2A1E"/>
    <w:rsid w:val="004E6C21"/>
    <w:rsid w:val="0051405E"/>
    <w:rsid w:val="00563EBC"/>
    <w:rsid w:val="00577718"/>
    <w:rsid w:val="005A1280"/>
    <w:rsid w:val="006467D3"/>
    <w:rsid w:val="006E1171"/>
    <w:rsid w:val="006F0971"/>
    <w:rsid w:val="0072334C"/>
    <w:rsid w:val="007F6BAF"/>
    <w:rsid w:val="00895BEA"/>
    <w:rsid w:val="008A0B20"/>
    <w:rsid w:val="008A3497"/>
    <w:rsid w:val="008B1C3B"/>
    <w:rsid w:val="008E0A40"/>
    <w:rsid w:val="00917A54"/>
    <w:rsid w:val="0094459B"/>
    <w:rsid w:val="009C14C4"/>
    <w:rsid w:val="009D08AE"/>
    <w:rsid w:val="00A20B6E"/>
    <w:rsid w:val="00A23D98"/>
    <w:rsid w:val="00A43553"/>
    <w:rsid w:val="00AC5391"/>
    <w:rsid w:val="00AD07B7"/>
    <w:rsid w:val="00B426C0"/>
    <w:rsid w:val="00B65F23"/>
    <w:rsid w:val="00B81228"/>
    <w:rsid w:val="00B83D68"/>
    <w:rsid w:val="00BA15FD"/>
    <w:rsid w:val="00BF2B8C"/>
    <w:rsid w:val="00C26074"/>
    <w:rsid w:val="00C83B0A"/>
    <w:rsid w:val="00CD79DA"/>
    <w:rsid w:val="00CE1E0C"/>
    <w:rsid w:val="00CE277E"/>
    <w:rsid w:val="00D154C0"/>
    <w:rsid w:val="00D56867"/>
    <w:rsid w:val="00E02A7F"/>
    <w:rsid w:val="00E07880"/>
    <w:rsid w:val="00E63241"/>
    <w:rsid w:val="00E82621"/>
    <w:rsid w:val="00F77C9A"/>
    <w:rsid w:val="00F91A0A"/>
    <w:rsid w:val="00FB576C"/>
    <w:rsid w:val="00FD2AA6"/>
    <w:rsid w:val="00FE0548"/>
    <w:rsid w:val="00FE7E8A"/>
    <w:rsid w:val="016A347B"/>
    <w:rsid w:val="01E925F2"/>
    <w:rsid w:val="020C4532"/>
    <w:rsid w:val="023F66B6"/>
    <w:rsid w:val="025263E9"/>
    <w:rsid w:val="02B40E52"/>
    <w:rsid w:val="02D84414"/>
    <w:rsid w:val="0374413D"/>
    <w:rsid w:val="038247D1"/>
    <w:rsid w:val="03C926DB"/>
    <w:rsid w:val="04004189"/>
    <w:rsid w:val="050056E6"/>
    <w:rsid w:val="059C797B"/>
    <w:rsid w:val="061E4834"/>
    <w:rsid w:val="06604E4C"/>
    <w:rsid w:val="06EE2458"/>
    <w:rsid w:val="070677A2"/>
    <w:rsid w:val="078B290D"/>
    <w:rsid w:val="0790350F"/>
    <w:rsid w:val="08F55D20"/>
    <w:rsid w:val="0C8F1FE8"/>
    <w:rsid w:val="0CA10BFA"/>
    <w:rsid w:val="0CD94EDE"/>
    <w:rsid w:val="0D080ACE"/>
    <w:rsid w:val="0D725B91"/>
    <w:rsid w:val="0D9F625A"/>
    <w:rsid w:val="0E460DCC"/>
    <w:rsid w:val="0F331350"/>
    <w:rsid w:val="0FC55A86"/>
    <w:rsid w:val="0FCB77DB"/>
    <w:rsid w:val="101F4A8C"/>
    <w:rsid w:val="10682325"/>
    <w:rsid w:val="106A2B50"/>
    <w:rsid w:val="10794722"/>
    <w:rsid w:val="10B22749"/>
    <w:rsid w:val="1124218F"/>
    <w:rsid w:val="118F66DA"/>
    <w:rsid w:val="11904838"/>
    <w:rsid w:val="11BC387F"/>
    <w:rsid w:val="11CC195D"/>
    <w:rsid w:val="11DA1F57"/>
    <w:rsid w:val="126B5F58"/>
    <w:rsid w:val="129C5519"/>
    <w:rsid w:val="12F2507E"/>
    <w:rsid w:val="13C7650B"/>
    <w:rsid w:val="140908D1"/>
    <w:rsid w:val="14164D9C"/>
    <w:rsid w:val="147246C9"/>
    <w:rsid w:val="147E4E1C"/>
    <w:rsid w:val="14997EA7"/>
    <w:rsid w:val="152C0D1B"/>
    <w:rsid w:val="159C74BB"/>
    <w:rsid w:val="15D51B6F"/>
    <w:rsid w:val="161377E5"/>
    <w:rsid w:val="162609B7"/>
    <w:rsid w:val="168E3310"/>
    <w:rsid w:val="17CE60BA"/>
    <w:rsid w:val="17EF7B96"/>
    <w:rsid w:val="1AB53561"/>
    <w:rsid w:val="1B23671D"/>
    <w:rsid w:val="1B9C202B"/>
    <w:rsid w:val="1B9E3FF5"/>
    <w:rsid w:val="1C942B5C"/>
    <w:rsid w:val="1DD97567"/>
    <w:rsid w:val="1E2D1660"/>
    <w:rsid w:val="1E4A2212"/>
    <w:rsid w:val="1EEC32CA"/>
    <w:rsid w:val="1F6D61B8"/>
    <w:rsid w:val="20344F28"/>
    <w:rsid w:val="20564E9E"/>
    <w:rsid w:val="21505D92"/>
    <w:rsid w:val="21722E7F"/>
    <w:rsid w:val="21A165ED"/>
    <w:rsid w:val="229D6DB5"/>
    <w:rsid w:val="23201794"/>
    <w:rsid w:val="235D4796"/>
    <w:rsid w:val="23615817"/>
    <w:rsid w:val="23621DAC"/>
    <w:rsid w:val="2423153B"/>
    <w:rsid w:val="243B4AD7"/>
    <w:rsid w:val="243E6375"/>
    <w:rsid w:val="25F018F1"/>
    <w:rsid w:val="26103D41"/>
    <w:rsid w:val="26FC6074"/>
    <w:rsid w:val="270C4509"/>
    <w:rsid w:val="27906EE8"/>
    <w:rsid w:val="284B72B3"/>
    <w:rsid w:val="2B2362C5"/>
    <w:rsid w:val="2B487ADA"/>
    <w:rsid w:val="2C0C0B07"/>
    <w:rsid w:val="2C504E98"/>
    <w:rsid w:val="2C5F3889"/>
    <w:rsid w:val="2C956D4E"/>
    <w:rsid w:val="2EF44200"/>
    <w:rsid w:val="2F1A178D"/>
    <w:rsid w:val="2FBD0A96"/>
    <w:rsid w:val="30BF25EC"/>
    <w:rsid w:val="312F7547"/>
    <w:rsid w:val="31B55C3F"/>
    <w:rsid w:val="31E3230A"/>
    <w:rsid w:val="33323549"/>
    <w:rsid w:val="33501C21"/>
    <w:rsid w:val="342015F4"/>
    <w:rsid w:val="34DB19BE"/>
    <w:rsid w:val="35EA010B"/>
    <w:rsid w:val="369167D9"/>
    <w:rsid w:val="36DF7544"/>
    <w:rsid w:val="371F5B92"/>
    <w:rsid w:val="379445DF"/>
    <w:rsid w:val="37A662B4"/>
    <w:rsid w:val="37B7401D"/>
    <w:rsid w:val="38AA5930"/>
    <w:rsid w:val="38D52738"/>
    <w:rsid w:val="39184F8F"/>
    <w:rsid w:val="3A65297A"/>
    <w:rsid w:val="3B1F0857"/>
    <w:rsid w:val="3B710987"/>
    <w:rsid w:val="3BEF1E4D"/>
    <w:rsid w:val="3C414629"/>
    <w:rsid w:val="3CA803D8"/>
    <w:rsid w:val="3CC203DF"/>
    <w:rsid w:val="3D1B7614"/>
    <w:rsid w:val="3DAB4624"/>
    <w:rsid w:val="3E5E3444"/>
    <w:rsid w:val="3EC11C25"/>
    <w:rsid w:val="3ECD3EAC"/>
    <w:rsid w:val="3ED25BE0"/>
    <w:rsid w:val="3F0D32E4"/>
    <w:rsid w:val="41870F04"/>
    <w:rsid w:val="42DA32B5"/>
    <w:rsid w:val="431F6F1A"/>
    <w:rsid w:val="433E1A96"/>
    <w:rsid w:val="43882D11"/>
    <w:rsid w:val="45992FB4"/>
    <w:rsid w:val="45DD5596"/>
    <w:rsid w:val="45FD1795"/>
    <w:rsid w:val="462B2193"/>
    <w:rsid w:val="4642364B"/>
    <w:rsid w:val="46492C2C"/>
    <w:rsid w:val="476D59BD"/>
    <w:rsid w:val="47AF2F63"/>
    <w:rsid w:val="48396CD0"/>
    <w:rsid w:val="489B34E7"/>
    <w:rsid w:val="489D2DBB"/>
    <w:rsid w:val="48CB1898"/>
    <w:rsid w:val="48FF3A76"/>
    <w:rsid w:val="49261002"/>
    <w:rsid w:val="4AEA3517"/>
    <w:rsid w:val="4BA95A36"/>
    <w:rsid w:val="4C455C43"/>
    <w:rsid w:val="4C771B75"/>
    <w:rsid w:val="4D7F6F33"/>
    <w:rsid w:val="4DDA23BB"/>
    <w:rsid w:val="4E944C60"/>
    <w:rsid w:val="4EB10F1F"/>
    <w:rsid w:val="4EEC684A"/>
    <w:rsid w:val="4EF92D15"/>
    <w:rsid w:val="4FC76963"/>
    <w:rsid w:val="4FF43C08"/>
    <w:rsid w:val="4FFD7F4B"/>
    <w:rsid w:val="51402E7D"/>
    <w:rsid w:val="51C4585C"/>
    <w:rsid w:val="52546BE0"/>
    <w:rsid w:val="525A7F6F"/>
    <w:rsid w:val="52D65847"/>
    <w:rsid w:val="53D120E9"/>
    <w:rsid w:val="53F82F4C"/>
    <w:rsid w:val="543547EF"/>
    <w:rsid w:val="5495528E"/>
    <w:rsid w:val="54BB7356"/>
    <w:rsid w:val="557D644E"/>
    <w:rsid w:val="56186177"/>
    <w:rsid w:val="56B765BF"/>
    <w:rsid w:val="56E12A0D"/>
    <w:rsid w:val="571701DC"/>
    <w:rsid w:val="574D00A2"/>
    <w:rsid w:val="576158FB"/>
    <w:rsid w:val="579977C9"/>
    <w:rsid w:val="587C29ED"/>
    <w:rsid w:val="58B959EF"/>
    <w:rsid w:val="590E1C7A"/>
    <w:rsid w:val="5D79399F"/>
    <w:rsid w:val="5E0A2849"/>
    <w:rsid w:val="5E231B5D"/>
    <w:rsid w:val="5E9D0733"/>
    <w:rsid w:val="5ED35331"/>
    <w:rsid w:val="5F117C07"/>
    <w:rsid w:val="5F577D10"/>
    <w:rsid w:val="5F9C3975"/>
    <w:rsid w:val="5FB707AE"/>
    <w:rsid w:val="60705218"/>
    <w:rsid w:val="62593D9F"/>
    <w:rsid w:val="62AC2121"/>
    <w:rsid w:val="63043D0B"/>
    <w:rsid w:val="63F7386F"/>
    <w:rsid w:val="64175CC0"/>
    <w:rsid w:val="65280A61"/>
    <w:rsid w:val="655F16CC"/>
    <w:rsid w:val="65841133"/>
    <w:rsid w:val="66E8749F"/>
    <w:rsid w:val="672A3F5C"/>
    <w:rsid w:val="674A015A"/>
    <w:rsid w:val="67784CC7"/>
    <w:rsid w:val="679A7D0A"/>
    <w:rsid w:val="683B2128"/>
    <w:rsid w:val="68447E42"/>
    <w:rsid w:val="685A261F"/>
    <w:rsid w:val="68B95597"/>
    <w:rsid w:val="69434E61"/>
    <w:rsid w:val="69D34437"/>
    <w:rsid w:val="6A9242F2"/>
    <w:rsid w:val="6AD466B8"/>
    <w:rsid w:val="6AF9048F"/>
    <w:rsid w:val="6D0D7C60"/>
    <w:rsid w:val="6E8E4DD0"/>
    <w:rsid w:val="6F3C2A7E"/>
    <w:rsid w:val="6FBB1BF5"/>
    <w:rsid w:val="70757FF6"/>
    <w:rsid w:val="70FF0363"/>
    <w:rsid w:val="712D08D1"/>
    <w:rsid w:val="716562BC"/>
    <w:rsid w:val="718D5813"/>
    <w:rsid w:val="71A861A9"/>
    <w:rsid w:val="73CE3C6E"/>
    <w:rsid w:val="74143FCA"/>
    <w:rsid w:val="7420296E"/>
    <w:rsid w:val="74746816"/>
    <w:rsid w:val="74890514"/>
    <w:rsid w:val="74B9247B"/>
    <w:rsid w:val="74DF1EE2"/>
    <w:rsid w:val="75DA6B4D"/>
    <w:rsid w:val="760D0CD1"/>
    <w:rsid w:val="7662101C"/>
    <w:rsid w:val="768A2321"/>
    <w:rsid w:val="768F5B89"/>
    <w:rsid w:val="77020109"/>
    <w:rsid w:val="770E4D00"/>
    <w:rsid w:val="77707769"/>
    <w:rsid w:val="77A22D00"/>
    <w:rsid w:val="77AD276B"/>
    <w:rsid w:val="77F43EF6"/>
    <w:rsid w:val="77FA34D6"/>
    <w:rsid w:val="79586707"/>
    <w:rsid w:val="798B24AE"/>
    <w:rsid w:val="7993773F"/>
    <w:rsid w:val="7A1E34AC"/>
    <w:rsid w:val="7A6F1F5A"/>
    <w:rsid w:val="7ACE4ED2"/>
    <w:rsid w:val="7C744746"/>
    <w:rsid w:val="7C7A131B"/>
    <w:rsid w:val="7D1C7A4B"/>
    <w:rsid w:val="7D405814"/>
    <w:rsid w:val="7F871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unhideWhenUsed/>
    <w:qFormat/>
    <w:uiPriority w:val="99"/>
    <w:pPr>
      <w:ind w:left="420" w:leftChars="200"/>
    </w:pPr>
  </w:style>
  <w:style w:type="paragraph" w:styleId="4">
    <w:name w:val="annotation text"/>
    <w:basedOn w:val="1"/>
    <w:link w:val="16"/>
    <w:unhideWhenUsed/>
    <w:qFormat/>
    <w:uiPriority w:val="99"/>
    <w:pPr>
      <w:jc w:val="left"/>
    </w:pPr>
  </w:style>
  <w:style w:type="paragraph" w:styleId="5">
    <w:name w:val="Balloon Text"/>
    <w:basedOn w:val="1"/>
    <w:link w:val="15"/>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4"/>
    <w:unhideWhenUsed/>
    <w:qFormat/>
    <w:uiPriority w:val="99"/>
    <w:rPr>
      <w:b/>
      <w:bCs/>
    </w:rPr>
  </w:style>
  <w:style w:type="character" w:styleId="11">
    <w:name w:val="page number"/>
    <w:basedOn w:val="10"/>
    <w:qFormat/>
    <w:uiPriority w:val="0"/>
  </w:style>
  <w:style w:type="character" w:styleId="12">
    <w:name w:val="annotation reference"/>
    <w:unhideWhenUsed/>
    <w:qFormat/>
    <w:uiPriority w:val="99"/>
    <w:rPr>
      <w:sz w:val="21"/>
      <w:szCs w:val="21"/>
    </w:rPr>
  </w:style>
  <w:style w:type="character" w:customStyle="1" w:styleId="13">
    <w:name w:val="页脚 字符"/>
    <w:link w:val="6"/>
    <w:qFormat/>
    <w:uiPriority w:val="99"/>
    <w:rPr>
      <w:kern w:val="2"/>
      <w:sz w:val="18"/>
      <w:szCs w:val="18"/>
    </w:rPr>
  </w:style>
  <w:style w:type="character" w:customStyle="1" w:styleId="14">
    <w:name w:val="批注主题 字符"/>
    <w:link w:val="8"/>
    <w:semiHidden/>
    <w:qFormat/>
    <w:uiPriority w:val="99"/>
    <w:rPr>
      <w:b/>
      <w:bCs/>
      <w:kern w:val="2"/>
      <w:sz w:val="21"/>
      <w:szCs w:val="24"/>
    </w:rPr>
  </w:style>
  <w:style w:type="character" w:customStyle="1" w:styleId="15">
    <w:name w:val="批注框文本 字符"/>
    <w:link w:val="5"/>
    <w:semiHidden/>
    <w:qFormat/>
    <w:uiPriority w:val="99"/>
    <w:rPr>
      <w:kern w:val="2"/>
      <w:sz w:val="18"/>
      <w:szCs w:val="18"/>
    </w:rPr>
  </w:style>
  <w:style w:type="character" w:customStyle="1" w:styleId="16">
    <w:name w:val="批注文字 字符"/>
    <w:link w:val="4"/>
    <w:semiHidden/>
    <w:qFormat/>
    <w:uiPriority w:val="99"/>
    <w:rPr>
      <w:kern w:val="2"/>
      <w:sz w:val="21"/>
      <w:szCs w:val="24"/>
    </w:rPr>
  </w:style>
  <w:style w:type="character" w:customStyle="1" w:styleId="17">
    <w:name w:val="页眉 字符"/>
    <w:link w:val="7"/>
    <w:semiHidden/>
    <w:qFormat/>
    <w:uiPriority w:val="99"/>
    <w:rPr>
      <w:kern w:val="2"/>
      <w:sz w:val="18"/>
      <w:szCs w:val="18"/>
    </w:rPr>
  </w:style>
  <w:style w:type="paragraph" w:customStyle="1" w:styleId="18">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Legend (Beijing) Limited</Company>
  <Pages>2</Pages>
  <Words>818</Words>
  <Characters>1071</Characters>
  <Lines>59</Lines>
  <Paragraphs>66</Paragraphs>
  <TotalTime>18</TotalTime>
  <ScaleCrop>false</ScaleCrop>
  <LinksUpToDate>false</LinksUpToDate>
  <CharactersWithSpaces>1104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2024-06-06T09:19:00Z</dcterms:created>
  <dc:creator>Legend User</dc:creator>
  <cp:lastModifiedBy>跃</cp:lastModifiedBy>
  <cp:lastPrinted>2024-06-05T08:37:00Z</cp:lastPrinted>
  <dcterms:modified xsi:type="dcterms:W3CDTF">2026-07-16T08:17:04Z</dcterms:modified>
  <dc:title>××产品质量监督抽查实施细则</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07D8D927A7834B9BB35AAE963BE6F6EA_13</vt:lpwstr>
  </property>
  <property fmtid="{D5CDD505-2E9C-101B-9397-08002B2CF9AE}" pid="4" name="KSOTemplateDocerSaveRecord">
    <vt:lpwstr>eyJoZGlkIjoiNGVkYTJiMjE4MzI0YWM0NzlkZTQ2ZjY1NzI2NzgzN2YiLCJ1c2VySWQiOiIxMjAyMDg5MDU5In0=</vt:lpwstr>
  </property>
</Properties>
</file>