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BD2D0">
      <w:pPr>
        <w:keepNext w:val="0"/>
        <w:keepLines w:val="0"/>
        <w:pageBreakBefore w:val="0"/>
        <w:widowControl w:val="0"/>
        <w:kinsoku/>
        <w:wordWrap/>
        <w:topLinePunct w:val="0"/>
        <w:autoSpaceDE w:val="0"/>
        <w:autoSpaceDN w:val="0"/>
        <w:bidi w:val="0"/>
        <w:adjustRightInd w:val="0"/>
        <w:snapToGrid/>
        <w:spacing w:line="360" w:lineRule="auto"/>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514E5023">
      <w:pPr>
        <w:keepNext w:val="0"/>
        <w:keepLines w:val="0"/>
        <w:pageBreakBefore w:val="0"/>
        <w:widowControl w:val="0"/>
        <w:kinsoku/>
        <w:wordWrap/>
        <w:topLinePunct w:val="0"/>
        <w:autoSpaceDE w:val="0"/>
        <w:autoSpaceDN w:val="0"/>
        <w:bidi w:val="0"/>
        <w:adjustRightInd w:val="0"/>
        <w:snapToGrid/>
        <w:spacing w:line="240" w:lineRule="auto"/>
        <w:ind w:right="0" w:rightChars="0"/>
        <w:jc w:val="center"/>
        <w:textAlignment w:val="auto"/>
        <w:rPr>
          <w:rFonts w:hint="eastAsia" w:ascii="仿宋" w:hAnsi="仿宋" w:eastAsia="仿宋" w:cs="仿宋"/>
          <w:b/>
          <w:bCs/>
          <w:sz w:val="32"/>
          <w:szCs w:val="32"/>
          <w:lang w:val="en-US" w:eastAsia="zh-CN"/>
        </w:rPr>
      </w:pPr>
      <w:r>
        <w:rPr>
          <w:rFonts w:hint="eastAsia" w:ascii="方正小标宋_GBK" w:hAnsi="方正小标宋_GBK" w:eastAsia="方正小标宋_GBK" w:cs="方正小标宋_GBK"/>
          <w:b w:val="0"/>
          <w:bCs w:val="0"/>
          <w:sz w:val="44"/>
          <w:szCs w:val="44"/>
          <w:lang w:val="en-US" w:eastAsia="zh-CN"/>
        </w:rPr>
        <w:t>不合格检验项目小知识</w:t>
      </w:r>
    </w:p>
    <w:p w14:paraId="19971763">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val="0"/>
          <w:bCs/>
          <w:sz w:val="32"/>
          <w:szCs w:val="32"/>
          <w:lang w:val="en-US" w:eastAsia="zh-CN"/>
        </w:rPr>
      </w:pPr>
      <w:bookmarkStart w:id="0" w:name="_GoBack"/>
      <w:bookmarkEnd w:id="0"/>
      <w:r>
        <w:rPr>
          <w:rFonts w:hint="eastAsia" w:ascii="仿宋" w:hAnsi="仿宋" w:eastAsia="仿宋" w:cs="仿宋"/>
          <w:b/>
          <w:bCs w:val="0"/>
          <w:sz w:val="32"/>
          <w:szCs w:val="32"/>
          <w:lang w:val="en-US" w:eastAsia="zh-CN"/>
        </w:rPr>
        <w:t>一、</w:t>
      </w:r>
      <w:r>
        <w:rPr>
          <w:rFonts w:hint="default" w:ascii="仿宋" w:hAnsi="仿宋" w:eastAsia="仿宋" w:cs="仿宋"/>
          <w:b/>
          <w:bCs w:val="0"/>
          <w:sz w:val="32"/>
          <w:szCs w:val="32"/>
          <w:lang w:val="en-US" w:eastAsia="zh-CN"/>
        </w:rPr>
        <w:t>恩诺沙星</w:t>
      </w:r>
      <w:r>
        <w:rPr>
          <w:rFonts w:hint="default" w:ascii="仿宋" w:hAnsi="仿宋" w:eastAsia="仿宋" w:cs="仿宋"/>
          <w:b w:val="0"/>
          <w:bCs/>
          <w:sz w:val="32"/>
          <w:szCs w:val="32"/>
          <w:lang w:val="en-US" w:eastAsia="zh-CN"/>
        </w:rPr>
        <w:t xml:space="preserve"> </w:t>
      </w:r>
    </w:p>
    <w:p w14:paraId="6E8D4159">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恩诺沙星属第三代喹诺酮类药物，是一类人工合成的广谱抗菌药。《食品安全国家标准 食品中兽药最大残留限量》（GB31650-2019）中规定，恩诺沙星在其他水产品中最大残留限量值为100μg/kg。水产品中恩诺沙星残留量超标的原因，可能是在养殖过程中为快速控制疫病，违规加大用药量或不遵守休药期规定，致使上市销售产品中的药物残留量超标。</w:t>
      </w:r>
    </w:p>
    <w:p w14:paraId="130F23E3">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二、</w:t>
      </w:r>
      <w:r>
        <w:rPr>
          <w:rFonts w:hint="default" w:ascii="仿宋" w:hAnsi="仿宋" w:eastAsia="仿宋" w:cs="仿宋"/>
          <w:b/>
          <w:bCs w:val="0"/>
          <w:sz w:val="32"/>
          <w:szCs w:val="32"/>
          <w:lang w:val="en-US" w:eastAsia="zh-CN"/>
        </w:rPr>
        <w:t>吡唑醚菌酯</w:t>
      </w:r>
    </w:p>
    <w:p w14:paraId="4BAB7F32">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吡唑醚菌酯为杀菌剂，属于甲氧基氨基甲酸酯类，通过抑制菌株的呼吸作用，进而达到杀菌的效果，可防治</w:t>
      </w:r>
      <w:r>
        <w:rPr>
          <w:rFonts w:hint="eastAsia" w:ascii="仿宋" w:hAnsi="仿宋" w:eastAsia="仿宋" w:cs="仿宋"/>
          <w:b w:val="0"/>
          <w:bCs/>
          <w:sz w:val="32"/>
          <w:szCs w:val="32"/>
          <w:lang w:val="en-US" w:eastAsia="zh-CN"/>
        </w:rPr>
        <w:t>芒果</w:t>
      </w:r>
      <w:r>
        <w:rPr>
          <w:rFonts w:hint="default" w:ascii="仿宋" w:hAnsi="仿宋" w:eastAsia="仿宋" w:cs="仿宋"/>
          <w:b w:val="0"/>
          <w:bCs/>
          <w:sz w:val="32"/>
          <w:szCs w:val="32"/>
          <w:lang w:val="en-US" w:eastAsia="zh-CN"/>
        </w:rPr>
        <w:t>等黑星病、叶斑病等。通过食品摄入一般不会导致吡唑醚菌酯的急性中毒，但长期食用吡唑醚菌酯超标的食品，对人体健康也有一定影响。《食品安全国家标准食品中农药最大残留限量》（GB 2763</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2021）中规定，吡唑醚菌酯在</w:t>
      </w:r>
      <w:r>
        <w:rPr>
          <w:rFonts w:hint="eastAsia" w:ascii="仿宋" w:hAnsi="仿宋" w:eastAsia="仿宋" w:cs="仿宋"/>
          <w:b w:val="0"/>
          <w:bCs/>
          <w:sz w:val="32"/>
          <w:szCs w:val="32"/>
          <w:lang w:val="en-US" w:eastAsia="zh-CN"/>
        </w:rPr>
        <w:t>芒果</w:t>
      </w:r>
      <w:r>
        <w:rPr>
          <w:rFonts w:hint="default" w:ascii="仿宋" w:hAnsi="仿宋" w:eastAsia="仿宋" w:cs="仿宋"/>
          <w:b w:val="0"/>
          <w:bCs/>
          <w:sz w:val="32"/>
          <w:szCs w:val="32"/>
          <w:lang w:val="en-US" w:eastAsia="zh-CN"/>
        </w:rPr>
        <w:t>中的最大残留限量值为 0.0</w:t>
      </w:r>
      <w:r>
        <w:rPr>
          <w:rFonts w:hint="eastAsia" w:ascii="仿宋" w:hAnsi="仿宋" w:eastAsia="仿宋" w:cs="仿宋"/>
          <w:b w:val="0"/>
          <w:bCs/>
          <w:sz w:val="32"/>
          <w:szCs w:val="32"/>
          <w:lang w:val="en-US" w:eastAsia="zh-CN"/>
        </w:rPr>
        <w:t>5</w:t>
      </w:r>
      <w:r>
        <w:rPr>
          <w:rFonts w:hint="default" w:ascii="仿宋" w:hAnsi="仿宋" w:eastAsia="仿宋" w:cs="仿宋"/>
          <w:b w:val="0"/>
          <w:bCs/>
          <w:sz w:val="32"/>
          <w:szCs w:val="32"/>
          <w:lang w:val="en-US" w:eastAsia="zh-CN"/>
        </w:rPr>
        <w:t>mg/kg。</w:t>
      </w:r>
      <w:r>
        <w:rPr>
          <w:rFonts w:hint="eastAsia" w:ascii="仿宋" w:hAnsi="仿宋" w:eastAsia="仿宋" w:cs="仿宋"/>
          <w:b w:val="0"/>
          <w:bCs/>
          <w:sz w:val="32"/>
          <w:szCs w:val="32"/>
          <w:lang w:val="en-US" w:eastAsia="zh-CN"/>
        </w:rPr>
        <w:t>芒果</w:t>
      </w:r>
      <w:r>
        <w:rPr>
          <w:rFonts w:hint="default" w:ascii="仿宋" w:hAnsi="仿宋" w:eastAsia="仿宋" w:cs="仿宋"/>
          <w:b w:val="0"/>
          <w:bCs/>
          <w:sz w:val="32"/>
          <w:szCs w:val="32"/>
          <w:lang w:val="en-US" w:eastAsia="zh-CN"/>
        </w:rPr>
        <w:t>中吡唑醚菌酯残留量超标的原因，可能是为快速控制病情，加大用药量或未遵守采摘间隔期规定，致使上市销售的产品中残留量超标。</w:t>
      </w:r>
    </w:p>
    <w:p w14:paraId="29A33487">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三、</w:t>
      </w:r>
      <w:r>
        <w:rPr>
          <w:rFonts w:hint="default" w:ascii="仿宋" w:hAnsi="仿宋" w:eastAsia="仿宋" w:cs="仿宋"/>
          <w:b/>
          <w:bCs w:val="0"/>
          <w:sz w:val="32"/>
          <w:szCs w:val="32"/>
          <w:lang w:val="en-US" w:eastAsia="zh-CN"/>
        </w:rPr>
        <w:t xml:space="preserve">二氧化硫残留量 </w:t>
      </w:r>
    </w:p>
    <w:p w14:paraId="072FB142">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 xml:space="preserve">二氧化硫是国内外允许使用的一种食品添加剂，通常情况下以焦亚硫酸钾、焦亚硫酸钠、亚硫酸钠、亚硫酸氢钠、低亚硫酸钠等亚硫酸盐的形式添加于食品中，或采用硫磺熏蒸的方式用于食品加工处理，具有漂白、防腐和抗氧化的作用。二氧化硫进入人体后最终转化为硫酸盐并随尿液排出体外，少量摄入不会对身体带来健康危害，但若过量食用可能引起如恶心、呕吐等胃肠道反应。GB 2760-2024《食品安全国家标准 食品添加剂使用标准》 </w:t>
      </w:r>
      <w:r>
        <w:rPr>
          <w:rFonts w:hint="eastAsia" w:ascii="仿宋" w:hAnsi="仿宋" w:eastAsia="仿宋" w:cs="仿宋"/>
          <w:b w:val="0"/>
          <w:bCs/>
          <w:sz w:val="32"/>
          <w:szCs w:val="32"/>
          <w:lang w:val="en-US" w:eastAsia="zh-CN"/>
        </w:rPr>
        <w:t>中规定，调味品中其他固体香辛料的最大残留量值为不得使用。</w:t>
      </w:r>
      <w:r>
        <w:rPr>
          <w:rFonts w:hint="default" w:ascii="仿宋" w:hAnsi="仿宋" w:eastAsia="仿宋" w:cs="仿宋"/>
          <w:b w:val="0"/>
          <w:bCs/>
          <w:sz w:val="32"/>
          <w:szCs w:val="32"/>
          <w:lang w:val="en-US" w:eastAsia="zh-CN"/>
        </w:rPr>
        <w:t>二氧化硫不合格的原因可能有，个别生产经营企业使用劣质原料以降低成本，其后为了提高产品色泽超量使用二氧化硫；也有可能是使用时不计量或计量不准确；还有可能是由于使用硫磺熏蒸漂白这种传统工艺或直接使用亚硫酸盐浸泡保鲜所造成。</w:t>
      </w:r>
    </w:p>
    <w:p w14:paraId="728B356B">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四、铝的残留量</w:t>
      </w:r>
    </w:p>
    <w:p w14:paraId="7BB1060C">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铝作为食品添加剂硫酸铝钾的重要成分，经常会添加在食物中作为膨松剂或稳定剂。《食品安全国家标准食品添加剂使用标准》(GB2760-2014)中规定，油条、月饼中的铝的残留量最大残留量值为100mg/kg。样品中铝残留量超标可能是由于企业超限量添加硫酸铝钾等食品添加剂造成的。铝有一定的慢性毒性，长期摄入铝超标的食品，在体内可造成铝的蓄积，轻者会使食欲减退，引起贫血，重者会表现为神经毒性，使人运动失调、记忆力衰退等。</w:t>
      </w:r>
    </w:p>
    <w:p w14:paraId="1A1FB2F7">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bCs w:val="0"/>
          <w:sz w:val="32"/>
          <w:szCs w:val="32"/>
          <w:lang w:val="en-US" w:eastAsia="zh-CN"/>
        </w:rPr>
        <w:t>五、</w:t>
      </w:r>
      <w:r>
        <w:rPr>
          <w:rFonts w:hint="default" w:ascii="仿宋" w:hAnsi="仿宋" w:eastAsia="仿宋" w:cs="仿宋"/>
          <w:b/>
          <w:bCs w:val="0"/>
          <w:sz w:val="32"/>
          <w:szCs w:val="32"/>
          <w:lang w:val="en-US" w:eastAsia="zh-CN"/>
        </w:rPr>
        <w:t>噻虫嗪</w:t>
      </w:r>
      <w:r>
        <w:rPr>
          <w:rFonts w:hint="default" w:ascii="仿宋" w:hAnsi="仿宋" w:eastAsia="仿宋" w:cs="仿宋"/>
          <w:b w:val="0"/>
          <w:bCs/>
          <w:sz w:val="32"/>
          <w:szCs w:val="32"/>
          <w:lang w:val="en-US" w:eastAsia="zh-CN"/>
        </w:rPr>
        <w:t xml:space="preserve"> </w:t>
      </w:r>
    </w:p>
    <w:p w14:paraId="42920740">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噻虫嗪是烟碱类杀虫剂，具有胃毒、触杀和内吸作用，对蚜虫等有较好防效。少量的残留不会引起人体急性中毒，但长期食用噻虫嗪超标的食品，对人体健康可能有一定影响。《食品安全国家标准 食品中农药最大残留限量》（GB2763</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2021）中规定，噻虫嗪在葱中的最大残留限量值为0.3mg/kg。葱中噻虫嗪残留量超标的原因，可能是为快速控制虫害，加大用药量或未遵守采摘间隔期规定，致使上市销售的产品中残留量超标。</w:t>
      </w:r>
    </w:p>
    <w:p w14:paraId="4960EF50">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六、过氧化值(以脂肪计)</w:t>
      </w:r>
    </w:p>
    <w:p w14:paraId="7396F8AB">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default" w:ascii="仿宋" w:hAnsi="仿宋" w:eastAsia="仿宋" w:cs="仿宋"/>
          <w:b w:val="0"/>
          <w:bCs/>
          <w:sz w:val="32"/>
          <w:szCs w:val="32"/>
          <w:lang w:val="en-US" w:eastAsia="zh-CN"/>
        </w:rPr>
        <w:t>过氧化值是衡量油脂不饱和脂肪酸被氧化程度的重要指标之一，是油脂酸败的早期指标，主要反映油脂被氧化的程度。一般来说，过氧化值越高，油脂被氧化的程度就越高。食用过氧化值超标的食品一般不会对人体健康造成明显损害，但长期食用严重超标的食品，可能会导致肠胃不适、腹泻等症状</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食品安全国家标准 坚果与籽类食品</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GB 19300-2014</w:t>
      </w:r>
      <w:r>
        <w:rPr>
          <w:rFonts w:hint="eastAsia" w:ascii="仿宋" w:hAnsi="仿宋" w:eastAsia="仿宋" w:cs="仿宋"/>
          <w:b w:val="0"/>
          <w:bCs/>
          <w:sz w:val="32"/>
          <w:szCs w:val="32"/>
          <w:lang w:val="en-US" w:eastAsia="zh-CN"/>
        </w:rPr>
        <w:t>）中规定，过氧化值(以脂肪计)在炒货食品及坚果制品</w:t>
      </w:r>
      <w:r>
        <w:rPr>
          <w:rFonts w:hint="default" w:ascii="仿宋" w:hAnsi="仿宋" w:eastAsia="仿宋" w:cs="仿宋"/>
          <w:b w:val="0"/>
          <w:bCs/>
          <w:sz w:val="32"/>
          <w:szCs w:val="32"/>
          <w:lang w:val="en-US" w:eastAsia="zh-CN"/>
        </w:rPr>
        <w:t>的最大残留限量值为0.80g/100g</w:t>
      </w:r>
      <w:r>
        <w:rPr>
          <w:rFonts w:hint="eastAsia" w:ascii="仿宋" w:hAnsi="仿宋" w:eastAsia="仿宋" w:cs="仿宋"/>
          <w:b w:val="0"/>
          <w:bCs/>
          <w:sz w:val="32"/>
          <w:szCs w:val="32"/>
          <w:lang w:val="en-US" w:eastAsia="zh-CN"/>
        </w:rPr>
        <w:t>。</w:t>
      </w:r>
      <w:r>
        <w:rPr>
          <w:rFonts w:hint="default" w:ascii="仿宋" w:hAnsi="仿宋" w:eastAsia="仿宋" w:cs="仿宋"/>
          <w:b w:val="0"/>
          <w:bCs/>
          <w:sz w:val="32"/>
          <w:szCs w:val="32"/>
          <w:lang w:val="en-US" w:eastAsia="zh-CN"/>
        </w:rPr>
        <w:t>超标原因一方面可能是食品生产企业在原料处理、生产过程、贮存、运输等环节中没有采取必要的隔氧、除氧和添加抗氧化剂等措施延缓油脂氧化，导致过氧化值超标。另一方面，贮存温度过高、氧气含量高或光照等外界环境因素，也会加快油脂的氧化速度，若糕点在储存过程中环境条件控制不当，就容易造成过氧化值超标</w:t>
      </w:r>
      <w:r>
        <w:rPr>
          <w:rFonts w:hint="eastAsia" w:ascii="仿宋" w:hAnsi="仿宋" w:eastAsia="仿宋" w:cs="仿宋"/>
          <w:b w:val="0"/>
          <w:bCs/>
          <w:sz w:val="32"/>
          <w:szCs w:val="32"/>
          <w:lang w:val="en-US" w:eastAsia="zh-CN"/>
        </w:rPr>
        <w:t>。</w:t>
      </w:r>
    </w:p>
    <w:p w14:paraId="64C8A981">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七、阴离子合成洗涤剂</w:t>
      </w:r>
    </w:p>
    <w:p w14:paraId="3BC0C6F0">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阴离子合成洗涤剂主要成分是十二烷基苯磺酸钠，是我们日常生活中经常用到的洗衣粉、洗洁精、洗衣液、肥皂等洗涤剂的主要成分，是一种低毒物质，因其使用方便、易溶解、稳定性好、成本低等优点被广泛使用。餐(饮）具中检出阴离子合成洗涤剂的原因可能是由于餐(饮)具消毒单位使用的洗涤剂不合格或使用量过大，或未经足够量清水冲洗，最终残留在餐（饮）具中。</w:t>
      </w:r>
    </w:p>
    <w:p w14:paraId="7E874FE1">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r>
        <w:rPr>
          <w:rFonts w:hint="eastAsia" w:ascii="仿宋" w:hAnsi="仿宋" w:eastAsia="仿宋" w:cs="仿宋"/>
          <w:b/>
          <w:bCs w:val="0"/>
          <w:sz w:val="32"/>
          <w:szCs w:val="32"/>
          <w:lang w:val="en-US" w:eastAsia="zh-CN"/>
        </w:rPr>
        <w:t>八、氯氟氰菊酯和高效氯氟氰菊酯</w:t>
      </w:r>
    </w:p>
    <w:p w14:paraId="6F5B941B">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 w:hAnsi="仿宋" w:eastAsia="仿宋" w:cs="仿宋"/>
          <w:b w:val="0"/>
          <w:bCs/>
          <w:sz w:val="32"/>
          <w:szCs w:val="32"/>
          <w:lang w:val="en-US" w:eastAsia="zh-CN"/>
        </w:rPr>
        <w:t>氯氟氰菊酯和高效氯氟氰菊酯，是一种拟除虫菊酯类农药，对害虫和螨类具有强烈的触杀和胃毒作用，具有杀虫广谱、高效、速度快、持效期长的特点。少量的农药残留不会引起人体急性中毒，但长期食用氯氟氰菊酯和高效氯氟氰菊酯超标的食品，对人体健康可能有一定影响。</w:t>
      </w:r>
      <w:r>
        <w:rPr>
          <w:rFonts w:hint="eastAsia" w:ascii="仿宋" w:hAnsi="仿宋" w:eastAsia="仿宋" w:cs="仿宋"/>
          <w:b w:val="0"/>
          <w:bCs/>
          <w:sz w:val="32"/>
          <w:szCs w:val="32"/>
          <w:lang w:val="en-US" w:eastAsia="zh-CN"/>
        </w:rPr>
        <w:t>韭菜</w:t>
      </w:r>
      <w:r>
        <w:rPr>
          <w:rFonts w:hint="default" w:ascii="仿宋" w:hAnsi="仿宋" w:eastAsia="仿宋" w:cs="仿宋"/>
          <w:b w:val="0"/>
          <w:bCs/>
          <w:sz w:val="32"/>
          <w:szCs w:val="32"/>
          <w:lang w:val="en-US" w:eastAsia="zh-CN"/>
        </w:rPr>
        <w:t>中氯氟氰菊酯和高效氯氟氰菊酯超标的原因可能是农户超量使用进行病虫害防治</w:t>
      </w:r>
      <w:r>
        <w:rPr>
          <w:rFonts w:hint="default" w:ascii="仿宋_GB2312" w:hAnsi="仿宋_GB2312" w:eastAsia="仿宋_GB2312" w:cs="仿宋_GB2312"/>
          <w:b w:val="0"/>
          <w:bCs/>
          <w:color w:val="auto"/>
          <w:sz w:val="32"/>
          <w:szCs w:val="32"/>
          <w:lang w:val="en-US" w:eastAsia="zh-CN"/>
        </w:rPr>
        <w:t>。</w:t>
      </w:r>
    </w:p>
    <w:p w14:paraId="4551CF00">
      <w:pPr>
        <w:keepNext w:val="0"/>
        <w:keepLines w:val="0"/>
        <w:pageBreakBefore w:val="0"/>
        <w:widowControl w:val="0"/>
        <w:kinsoku/>
        <w:wordWrap/>
        <w:overflowPunct/>
        <w:topLinePunct w:val="0"/>
        <w:bidi w:val="0"/>
        <w:snapToGrid/>
        <w:spacing w:line="560" w:lineRule="exact"/>
        <w:ind w:firstLine="643" w:firstLineChars="200"/>
        <w:textAlignment w:val="auto"/>
        <w:rPr>
          <w:rFonts w:hint="eastAsia" w:ascii="仿宋" w:hAnsi="仿宋" w:eastAsia="仿宋" w:cs="仿宋"/>
          <w:b/>
          <w:bCs w:val="0"/>
          <w:sz w:val="32"/>
          <w:szCs w:val="32"/>
          <w:lang w:val="en-US" w:eastAsia="zh-CN"/>
        </w:rPr>
      </w:pPr>
    </w:p>
    <w:p w14:paraId="0EA7E3DA">
      <w:pPr>
        <w:keepNext w:val="0"/>
        <w:keepLines w:val="0"/>
        <w:pageBreakBefore w:val="0"/>
        <w:widowControl w:val="0"/>
        <w:kinsoku/>
        <w:wordWrap/>
        <w:overflowPunct/>
        <w:topLinePunct w:val="0"/>
        <w:bidi w:val="0"/>
        <w:snapToGrid/>
        <w:spacing w:line="560" w:lineRule="exact"/>
        <w:ind w:firstLine="640" w:firstLineChars="200"/>
        <w:textAlignment w:val="auto"/>
        <w:rPr>
          <w:rFonts w:hint="default" w:ascii="仿宋" w:hAnsi="仿宋" w:eastAsia="仿宋" w:cs="仿宋"/>
          <w:b w:val="0"/>
          <w:bCs/>
          <w:sz w:val="32"/>
          <w:szCs w:val="32"/>
          <w:lang w:val="en-US" w:eastAsia="zh-CN"/>
        </w:rPr>
      </w:pPr>
    </w:p>
    <w:p w14:paraId="31BEF269">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b w:val="0"/>
          <w:bCs/>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4ODk1ODA0NDMyNTA0ZTEwZGY5NmJjZTA4Njg2ZjYifQ=="/>
  </w:docVars>
  <w:rsids>
    <w:rsidRoot w:val="00000000"/>
    <w:rsid w:val="030129E7"/>
    <w:rsid w:val="035132D5"/>
    <w:rsid w:val="04105830"/>
    <w:rsid w:val="048819C4"/>
    <w:rsid w:val="050878A3"/>
    <w:rsid w:val="0CE44B8F"/>
    <w:rsid w:val="13692EF5"/>
    <w:rsid w:val="13754A26"/>
    <w:rsid w:val="15D12A9F"/>
    <w:rsid w:val="18E214F8"/>
    <w:rsid w:val="19A25A0C"/>
    <w:rsid w:val="1AFA74C0"/>
    <w:rsid w:val="1CCC22F5"/>
    <w:rsid w:val="1DA01FE1"/>
    <w:rsid w:val="200E6725"/>
    <w:rsid w:val="2619025D"/>
    <w:rsid w:val="27F04F5E"/>
    <w:rsid w:val="32EF34A0"/>
    <w:rsid w:val="3804241F"/>
    <w:rsid w:val="386E2DF5"/>
    <w:rsid w:val="3E7C2468"/>
    <w:rsid w:val="3E953DF8"/>
    <w:rsid w:val="3F2E7589"/>
    <w:rsid w:val="41E7529E"/>
    <w:rsid w:val="432644A9"/>
    <w:rsid w:val="44E13225"/>
    <w:rsid w:val="45E21E3B"/>
    <w:rsid w:val="4700296D"/>
    <w:rsid w:val="47DE6C76"/>
    <w:rsid w:val="492078B6"/>
    <w:rsid w:val="494C3356"/>
    <w:rsid w:val="4BE5547B"/>
    <w:rsid w:val="4CCD443F"/>
    <w:rsid w:val="4DBD1DF1"/>
    <w:rsid w:val="4DD3727F"/>
    <w:rsid w:val="4F4058D1"/>
    <w:rsid w:val="4FA2222B"/>
    <w:rsid w:val="50D71E2D"/>
    <w:rsid w:val="51AE1CAF"/>
    <w:rsid w:val="56FB4775"/>
    <w:rsid w:val="57DF393A"/>
    <w:rsid w:val="596A1057"/>
    <w:rsid w:val="5D900CE9"/>
    <w:rsid w:val="5F056BF5"/>
    <w:rsid w:val="60CC64DC"/>
    <w:rsid w:val="63903AA9"/>
    <w:rsid w:val="64E45089"/>
    <w:rsid w:val="67096815"/>
    <w:rsid w:val="67E94F4F"/>
    <w:rsid w:val="69A97868"/>
    <w:rsid w:val="6C4504B1"/>
    <w:rsid w:val="74D44B04"/>
    <w:rsid w:val="76040FE2"/>
    <w:rsid w:val="78FC0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afterLines="0"/>
      <w:ind w:left="420" w:leftChars="200"/>
    </w:pPr>
  </w:style>
  <w:style w:type="paragraph" w:styleId="3">
    <w:name w:val="envelope return"/>
    <w:basedOn w:val="1"/>
    <w:qFormat/>
    <w:uiPriority w:val="0"/>
    <w:pPr>
      <w:snapToGrid w:val="0"/>
    </w:pPr>
    <w:rPr>
      <w:rFonts w:ascii="Arial" w:hAnsi="Arial" w:cs="Arial"/>
    </w:rPr>
  </w:style>
  <w:style w:type="paragraph" w:styleId="4">
    <w:name w:val="footer"/>
    <w:basedOn w:val="1"/>
    <w:qFormat/>
    <w:uiPriority w:val="0"/>
    <w:pPr>
      <w:tabs>
        <w:tab w:val="center" w:pos="4153"/>
        <w:tab w:val="right" w:pos="8306"/>
      </w:tabs>
      <w:snapToGrid w:val="0"/>
      <w:jc w:val="left"/>
    </w:pPr>
    <w:rPr>
      <w:sz w:val="18"/>
    </w:rPr>
  </w:style>
  <w:style w:type="paragraph" w:styleId="5">
    <w:name w:val="toc 1"/>
    <w:basedOn w:val="1"/>
    <w:next w:val="1"/>
    <w:qFormat/>
    <w:uiPriority w:val="0"/>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2"/>
    <w:qFormat/>
    <w:uiPriority w:val="0"/>
    <w:pPr>
      <w:adjustRightInd w:val="0"/>
      <w:ind w:left="0" w:leftChars="0" w:firstLine="880" w:firstLineChars="200"/>
    </w:pPr>
    <w:rPr>
      <w:rFonts w:ascii="Calibri" w:hAnsi="Calibri" w:eastAsia="仿宋" w:cs="Times New Roman"/>
      <w:sz w:val="32"/>
    </w:rPr>
  </w:style>
  <w:style w:type="paragraph" w:customStyle="1" w:styleId="10">
    <w:name w:val="Style1"/>
    <w:qFormat/>
    <w:uiPriority w:val="0"/>
    <w:pPr>
      <w:spacing w:after="120"/>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2095</Words>
  <Characters>2211</Characters>
  <Lines>0</Lines>
  <Paragraphs>0</Paragraphs>
  <TotalTime>0</TotalTime>
  <ScaleCrop>false</ScaleCrop>
  <LinksUpToDate>false</LinksUpToDate>
  <CharactersWithSpaces>2225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2025-03-24T02:48:00Z</dcterms:created>
  <dc:creator>Administrator</dc:creator>
  <cp:lastModifiedBy>WPS_1697163315</cp:lastModifiedBy>
  <cp:lastPrinted>2025-09-22T09:52:00Z</cp:lastPrinted>
  <dcterms:modified xsi:type="dcterms:W3CDTF">2025-11-06T02:09:21Z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7A91098B6FC442D9A29F356F234213A0_12</vt:lpwstr>
  </property>
  <property fmtid="{D5CDD505-2E9C-101B-9397-08002B2CF9AE}" pid="4" name="KSOTemplateDocerSaveRecord">
    <vt:lpwstr>eyJoZGlkIjoiYjQ4ODk1ODA0NDMyNTA0ZTEwZGY5NmJjZTA4Njg2ZjYiLCJ1c2VySWQiOiIxNTQ5NzIyMzEzIn0=</vt:lpwstr>
  </property>
</Properties>
</file>