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7160E4">
      <w:pPr>
        <w:suppressAutoHyphens/>
        <w:spacing w:line="567" w:lineRule="exact"/>
        <w:jc w:val="center"/>
        <w:rPr>
          <w:rFonts w:hint="default" w:ascii="方正小标宋简体" w:hAnsi="Calibri" w:eastAsia="方正小标宋简体" w:cs="Times New Roman"/>
          <w:color w:val="000000"/>
          <w:spacing w:val="-4"/>
          <w:sz w:val="44"/>
          <w:szCs w:val="44"/>
          <w:lang w:val="en-US" w:eastAsia="zh-CN"/>
        </w:rPr>
      </w:pPr>
      <w:r>
        <w:rPr>
          <w:rFonts w:hint="eastAsia" w:ascii="方正小标宋简体" w:hAnsi="Calibri" w:eastAsia="方正小标宋简体" w:cs="Times New Roman"/>
          <w:color w:val="000000"/>
          <w:spacing w:val="-4"/>
          <w:sz w:val="44"/>
          <w:szCs w:val="44"/>
          <w:lang w:val="en-US" w:eastAsia="zh-CN"/>
        </w:rPr>
        <w:t>医疗保障涉企行政检查裁量基准</w:t>
      </w:r>
    </w:p>
    <w:p w14:paraId="26D1E8B6">
      <w:pPr>
        <w:suppressAutoHyphens/>
        <w:spacing w:line="567" w:lineRule="exact"/>
        <w:jc w:val="center"/>
        <w:rPr>
          <w:rFonts w:hint="eastAsia" w:ascii="方正小标宋简体" w:hAnsi="Calibri" w:eastAsia="方正小标宋简体" w:cs="Times New Roman"/>
          <w:color w:val="000000"/>
          <w:spacing w:val="-4"/>
          <w:sz w:val="44"/>
          <w:szCs w:val="44"/>
          <w:lang w:val="en-US" w:eastAsia="zh-CN"/>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8"/>
        <w:gridCol w:w="1088"/>
        <w:gridCol w:w="2632"/>
        <w:gridCol w:w="1136"/>
        <w:gridCol w:w="1004"/>
        <w:gridCol w:w="1942"/>
        <w:gridCol w:w="1648"/>
        <w:gridCol w:w="1487"/>
        <w:gridCol w:w="1567"/>
        <w:gridCol w:w="965"/>
      </w:tblGrid>
      <w:tr w14:paraId="4CC56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19" w:hRule="atLeast"/>
        </w:trPr>
        <w:tc>
          <w:tcPr>
            <w:tcW w:w="698" w:type="dxa"/>
            <w:vAlign w:val="center"/>
          </w:tcPr>
          <w:p w14:paraId="2B87DF0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序号</w:t>
            </w:r>
          </w:p>
        </w:tc>
        <w:tc>
          <w:tcPr>
            <w:tcW w:w="1088" w:type="dxa"/>
            <w:vAlign w:val="center"/>
          </w:tcPr>
          <w:p w14:paraId="2ED0D6D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行政</w:t>
            </w:r>
          </w:p>
          <w:p w14:paraId="51FABA7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检查</w:t>
            </w:r>
          </w:p>
          <w:p w14:paraId="4E350DD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事项</w:t>
            </w:r>
          </w:p>
        </w:tc>
        <w:tc>
          <w:tcPr>
            <w:tcW w:w="2632" w:type="dxa"/>
            <w:vAlign w:val="center"/>
          </w:tcPr>
          <w:p w14:paraId="42437D7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行政检查依据</w:t>
            </w:r>
          </w:p>
        </w:tc>
        <w:tc>
          <w:tcPr>
            <w:tcW w:w="1136" w:type="dxa"/>
            <w:vAlign w:val="center"/>
          </w:tcPr>
          <w:p w14:paraId="6D4511B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实施</w:t>
            </w:r>
          </w:p>
          <w:p w14:paraId="76C9679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对象</w:t>
            </w:r>
          </w:p>
        </w:tc>
        <w:tc>
          <w:tcPr>
            <w:tcW w:w="1004" w:type="dxa"/>
            <w:vAlign w:val="center"/>
          </w:tcPr>
          <w:p w14:paraId="299FB95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行政检查频次</w:t>
            </w:r>
          </w:p>
        </w:tc>
        <w:tc>
          <w:tcPr>
            <w:tcW w:w="1942" w:type="dxa"/>
            <w:vAlign w:val="center"/>
          </w:tcPr>
          <w:p w14:paraId="785AB88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行政检查标准</w:t>
            </w:r>
          </w:p>
        </w:tc>
        <w:tc>
          <w:tcPr>
            <w:tcW w:w="1648" w:type="dxa"/>
            <w:vAlign w:val="center"/>
          </w:tcPr>
          <w:p w14:paraId="188796D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专项检查</w:t>
            </w:r>
          </w:p>
          <w:p w14:paraId="4EF0A89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计划</w:t>
            </w:r>
          </w:p>
        </w:tc>
        <w:tc>
          <w:tcPr>
            <w:tcW w:w="1487" w:type="dxa"/>
            <w:vAlign w:val="center"/>
          </w:tcPr>
          <w:p w14:paraId="00005A2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检查方式</w:t>
            </w:r>
          </w:p>
        </w:tc>
        <w:tc>
          <w:tcPr>
            <w:tcW w:w="1567" w:type="dxa"/>
            <w:vAlign w:val="center"/>
          </w:tcPr>
          <w:p w14:paraId="29901E6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检查内容</w:t>
            </w:r>
          </w:p>
        </w:tc>
        <w:tc>
          <w:tcPr>
            <w:tcW w:w="965" w:type="dxa"/>
            <w:vAlign w:val="center"/>
          </w:tcPr>
          <w:p w14:paraId="021A1D9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行使层级</w:t>
            </w:r>
          </w:p>
        </w:tc>
      </w:tr>
      <w:tr w14:paraId="336F5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98" w:type="dxa"/>
            <w:vAlign w:val="center"/>
          </w:tcPr>
          <w:p w14:paraId="493E022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088" w:type="dxa"/>
            <w:vAlign w:val="center"/>
          </w:tcPr>
          <w:p w14:paraId="74F5791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rPr>
              <w:t>对纳入医疗保障范围</w:t>
            </w:r>
            <w:r>
              <w:rPr>
                <w:rFonts w:hint="eastAsia" w:ascii="仿宋_GB2312" w:hAnsi="仿宋_GB2312" w:eastAsia="仿宋_GB2312" w:cs="仿宋_GB2312"/>
                <w:sz w:val="24"/>
                <w:szCs w:val="24"/>
                <w:lang w:eastAsia="zh-CN"/>
              </w:rPr>
              <w:t>因</w:t>
            </w:r>
            <w:r>
              <w:rPr>
                <w:rFonts w:hint="eastAsia" w:ascii="仿宋_GB2312" w:hAnsi="仿宋_GB2312" w:eastAsia="仿宋_GB2312" w:cs="仿宋_GB2312"/>
                <w:sz w:val="24"/>
                <w:szCs w:val="24"/>
              </w:rPr>
              <w:t>价格违法违规</w:t>
            </w:r>
            <w:r>
              <w:rPr>
                <w:rFonts w:hint="eastAsia" w:ascii="仿宋_GB2312" w:hAnsi="仿宋_GB2312" w:eastAsia="仿宋_GB2312" w:cs="仿宋_GB2312"/>
                <w:sz w:val="24"/>
                <w:szCs w:val="24"/>
                <w:lang w:eastAsia="zh-CN"/>
              </w:rPr>
              <w:t>导致医保基金损失的</w:t>
            </w:r>
            <w:r>
              <w:rPr>
                <w:rFonts w:hint="eastAsia" w:ascii="仿宋_GB2312" w:hAnsi="仿宋_GB2312" w:eastAsia="仿宋_GB2312" w:cs="仿宋_GB2312"/>
                <w:sz w:val="24"/>
                <w:szCs w:val="24"/>
              </w:rPr>
              <w:t>行为监督检查</w:t>
            </w:r>
          </w:p>
        </w:tc>
        <w:tc>
          <w:tcPr>
            <w:tcW w:w="2632" w:type="dxa"/>
            <w:vAlign w:val="center"/>
          </w:tcPr>
          <w:p w14:paraId="39B56DE4">
            <w:pPr>
              <w:keepNext w:val="0"/>
              <w:keepLines w:val="0"/>
              <w:pageBreakBefore w:val="0"/>
              <w:widowControl w:val="0"/>
              <w:numPr>
                <w:ilvl w:val="0"/>
                <w:numId w:val="1"/>
              </w:numPr>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《中华人民共和国价格法》第三十三条：县级以上各级人民政府价格主管部门，依法对价格活动进行监督检查，并依照本法的规定对价格违法行为实施行政处罚。 </w:t>
            </w:r>
          </w:p>
          <w:p w14:paraId="50D5487E">
            <w:pPr>
              <w:keepNext w:val="0"/>
              <w:keepLines w:val="0"/>
              <w:pageBreakBefore w:val="0"/>
              <w:widowControl w:val="0"/>
              <w:numPr>
                <w:ilvl w:val="0"/>
                <w:numId w:val="1"/>
              </w:numPr>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《中华人民共和国价格法》第三十四条</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政府价格主管部门进行价格监督检查时，可以行使下列职权：（一）询问当事人或者有关人员，并要求其提供证明材料和与价格违法行为有关的其他资料；（二）查询、复制与价格违法行为有关的帐簿、单据、凭证、文件及其他资料，核对与价格违法行为有关的银行资料；（三）检查与价格违法行为有关的财物，必要时可以责令当事人暂停相关营业；（四）在证据可能灭失或者以后难以取得的情况下，可以依法先行登记保存，当事人或者有关人员不得转移、隐匿或者销毁。</w:t>
            </w:r>
          </w:p>
          <w:p w14:paraId="7EA26F1E">
            <w:pPr>
              <w:keepNext w:val="0"/>
              <w:keepLines w:val="0"/>
              <w:pageBreakBefore w:val="0"/>
              <w:widowControl w:val="0"/>
              <w:numPr>
                <w:ilvl w:val="0"/>
                <w:numId w:val="1"/>
              </w:numPr>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《中华人民共和国价格法》第三十五条</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经营者接受政府价格主管部门的监督检查时，应当如实提供价格监督检查所必需的帐薄、单据、凭证、文件以及其他资料。</w:t>
            </w:r>
          </w:p>
          <w:p w14:paraId="088CBDEB">
            <w:pPr>
              <w:keepNext w:val="0"/>
              <w:keepLines w:val="0"/>
              <w:pageBreakBefore w:val="0"/>
              <w:widowControl w:val="0"/>
              <w:numPr>
                <w:ilvl w:val="0"/>
                <w:numId w:val="1"/>
              </w:numPr>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《价格违法行为行政处罚规定》 第二条：县级以上各级人民政府价格主管部门依法对价格活动进行监督检查</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并决定对价格违法行为的行政处罚。</w:t>
            </w:r>
          </w:p>
        </w:tc>
        <w:tc>
          <w:tcPr>
            <w:tcW w:w="1136" w:type="dxa"/>
            <w:vAlign w:val="center"/>
          </w:tcPr>
          <w:p w14:paraId="38F80D27">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定点医药机构</w:t>
            </w:r>
          </w:p>
        </w:tc>
        <w:tc>
          <w:tcPr>
            <w:tcW w:w="1004" w:type="dxa"/>
            <w:vAlign w:val="center"/>
          </w:tcPr>
          <w:p w14:paraId="6649E0E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1-2次</w:t>
            </w:r>
          </w:p>
        </w:tc>
        <w:tc>
          <w:tcPr>
            <w:tcW w:w="1942" w:type="dxa"/>
            <w:vAlign w:val="center"/>
          </w:tcPr>
          <w:p w14:paraId="22AF30D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1.《医疗保障行政处罚程序暂行规定》</w:t>
            </w:r>
          </w:p>
          <w:p w14:paraId="05D8792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2.《医疗保障基金使用监督管理条例》</w:t>
            </w:r>
          </w:p>
          <w:p w14:paraId="15D3EE7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3.《医疗机构医疗保障定点管理暂行办法》</w:t>
            </w:r>
          </w:p>
          <w:p w14:paraId="67E14A7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4.《零售药店医疗保障定点管理暂行办法》</w:t>
            </w:r>
          </w:p>
          <w:p w14:paraId="768CDFC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5.《医疗保障基金使用监督管理举报处理暂行办法》</w:t>
            </w:r>
          </w:p>
          <w:p w14:paraId="631A937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6.《山西省医保局 山西省卫生健康委员会 山西省药监局关于建立定点医药机构相关人员医保支付资格管理实施细则（试行）》</w:t>
            </w:r>
          </w:p>
          <w:p w14:paraId="21A1463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7.《山西省医疗保障基金监管飞行检查规程》</w:t>
            </w:r>
          </w:p>
          <w:p w14:paraId="349B3D9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8.《欺诈骗取医疗保障基金行为举报奖励暂行办法》</w:t>
            </w:r>
          </w:p>
          <w:p w14:paraId="1A1CE5D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9.《山西省医疗保障基金使用监督管理办法》</w:t>
            </w:r>
          </w:p>
          <w:p w14:paraId="2AFF605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10.《山西省医疗保障行政处罚自由裁量基准》</w:t>
            </w:r>
          </w:p>
        </w:tc>
        <w:tc>
          <w:tcPr>
            <w:tcW w:w="1648" w:type="dxa"/>
            <w:vAlign w:val="center"/>
          </w:tcPr>
          <w:p w14:paraId="4E8CD51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采取“四不两直”的方式，通过省内飞行检查及有针对性地对有举报线索的医药机构进行专项飞检</w:t>
            </w:r>
          </w:p>
        </w:tc>
        <w:tc>
          <w:tcPr>
            <w:tcW w:w="1487" w:type="dxa"/>
            <w:vAlign w:val="center"/>
          </w:tcPr>
          <w:p w14:paraId="6DE62F4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现场检查与非现场检查</w:t>
            </w:r>
          </w:p>
        </w:tc>
        <w:tc>
          <w:tcPr>
            <w:tcW w:w="1567" w:type="dxa"/>
            <w:vAlign w:val="center"/>
          </w:tcPr>
          <w:p w14:paraId="2609BE0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 定点医药机构是否严格执行医疗保障行政部门制定的医药价格政策；2.定点医药机构是否存在违规申报费用行为等。</w:t>
            </w:r>
          </w:p>
          <w:p w14:paraId="4759212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4"/>
                <w:szCs w:val="24"/>
                <w:vertAlign w:val="baseline"/>
                <w:lang w:val="en-US" w:eastAsia="zh-CN"/>
              </w:rPr>
            </w:pPr>
          </w:p>
        </w:tc>
        <w:tc>
          <w:tcPr>
            <w:tcW w:w="965" w:type="dxa"/>
            <w:vAlign w:val="center"/>
          </w:tcPr>
          <w:p w14:paraId="3A9F6E4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4"/>
                <w:szCs w:val="24"/>
                <w:vertAlign w:val="baseline"/>
                <w:lang w:val="en-US" w:eastAsia="zh-CN"/>
              </w:rPr>
            </w:pPr>
          </w:p>
        </w:tc>
      </w:tr>
      <w:tr w14:paraId="2DA5F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98" w:type="dxa"/>
            <w:vAlign w:val="center"/>
          </w:tcPr>
          <w:p w14:paraId="391AAE8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1088" w:type="dxa"/>
            <w:vAlign w:val="center"/>
          </w:tcPr>
          <w:p w14:paraId="607B6BC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对纳入基本医疗保险基金支付范围的医疗服务行为和医疗费用加强监督管理</w:t>
            </w:r>
          </w:p>
        </w:tc>
        <w:tc>
          <w:tcPr>
            <w:tcW w:w="2632" w:type="dxa"/>
            <w:vAlign w:val="center"/>
          </w:tcPr>
          <w:p w14:paraId="473CB98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中华人民共和国</w:t>
            </w:r>
            <w:r>
              <w:rPr>
                <w:rFonts w:hint="eastAsia" w:ascii="仿宋_GB2312" w:hAnsi="仿宋_GB2312" w:eastAsia="仿宋_GB2312" w:cs="仿宋_GB2312"/>
                <w:sz w:val="24"/>
                <w:szCs w:val="24"/>
              </w:rPr>
              <w:t>基本医疗卫生与健康促进法》第八十七条：县级以上人民政府医疗保障主管部门应当提高医疗保障监管能力和水平，对纳入基本医疗保险基金支付范围的医疗服务行为和医疗费用加强监督管理，确保基本医疗保险基金合理使用、安全可控。</w:t>
            </w:r>
          </w:p>
          <w:p w14:paraId="0863C0B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2.《医疗保障基金使用监督管理条例》</w:t>
            </w:r>
            <w:r>
              <w:rPr>
                <w:rFonts w:hint="eastAsia" w:ascii="仿宋_GB2312" w:hAnsi="仿宋_GB2312" w:eastAsia="仿宋_GB2312" w:cs="仿宋_GB2312"/>
                <w:sz w:val="24"/>
                <w:szCs w:val="24"/>
              </w:rPr>
              <w:t>第二十二条</w:t>
            </w:r>
            <w:r>
              <w:rPr>
                <w:rFonts w:hint="eastAsia" w:ascii="仿宋_GB2312" w:hAnsi="仿宋_GB2312" w:eastAsia="仿宋_GB2312" w:cs="仿宋_GB2312"/>
                <w:sz w:val="24"/>
                <w:szCs w:val="24"/>
                <w:lang w:val="en-US" w:eastAsia="zh-CN"/>
              </w:rPr>
              <w:t>第二款：</w:t>
            </w:r>
            <w:r>
              <w:rPr>
                <w:rFonts w:hint="eastAsia" w:ascii="仿宋_GB2312" w:hAnsi="仿宋_GB2312" w:eastAsia="仿宋_GB2312" w:cs="仿宋_GB2312"/>
                <w:sz w:val="24"/>
                <w:szCs w:val="24"/>
              </w:rPr>
              <w:t>医疗保障行政部门应当加强对纳入医疗保障基金支付范围的医疗服务行为和医疗费用的监督，规范医疗保障经办业务，依法查处违法使用医疗保障基金的行为。</w:t>
            </w:r>
          </w:p>
          <w:p w14:paraId="6BE1D94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3.《医疗保障基金使用监督管理条例》</w:t>
            </w:r>
            <w:r>
              <w:rPr>
                <w:rFonts w:hint="eastAsia" w:ascii="仿宋_GB2312" w:hAnsi="仿宋_GB2312" w:eastAsia="仿宋_GB2312" w:cs="仿宋_GB2312"/>
                <w:sz w:val="24"/>
                <w:szCs w:val="24"/>
              </w:rPr>
              <w:t>第二十五条</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医疗保障行政部门应当根据医疗保障基金风险评估、举报投诉线索、医疗保障数据监控等因素，确定检查重点，组织开展专项检查。</w:t>
            </w:r>
          </w:p>
          <w:p w14:paraId="13E6151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4.《医疗保障基金使用监督管理条例》</w:t>
            </w:r>
            <w:r>
              <w:rPr>
                <w:rFonts w:hint="eastAsia" w:ascii="仿宋_GB2312" w:hAnsi="仿宋_GB2312" w:eastAsia="仿宋_GB2312" w:cs="仿宋_GB2312"/>
                <w:sz w:val="24"/>
                <w:szCs w:val="24"/>
              </w:rPr>
              <w:t>第二十六条</w:t>
            </w:r>
            <w:r>
              <w:rPr>
                <w:rFonts w:hint="eastAsia" w:ascii="仿宋_GB2312" w:hAnsi="仿宋_GB2312" w:eastAsia="仿宋_GB2312" w:cs="仿宋_GB2312"/>
                <w:sz w:val="24"/>
                <w:szCs w:val="24"/>
                <w:lang w:val="en-US" w:eastAsia="zh-CN"/>
              </w:rPr>
              <w:t>第一款：</w:t>
            </w:r>
            <w:r>
              <w:rPr>
                <w:rFonts w:hint="eastAsia" w:ascii="仿宋_GB2312" w:hAnsi="仿宋_GB2312" w:eastAsia="仿宋_GB2312" w:cs="仿宋_GB2312"/>
                <w:sz w:val="24"/>
                <w:szCs w:val="24"/>
              </w:rPr>
              <w:t>医疗保障行政部门可以会同卫生健康、中医药、市场监督管理、财政、公安等部门开展联合检查。</w:t>
            </w:r>
            <w:bookmarkStart w:id="0" w:name="_GoBack"/>
            <w:bookmarkEnd w:id="0"/>
          </w:p>
        </w:tc>
        <w:tc>
          <w:tcPr>
            <w:tcW w:w="1136" w:type="dxa"/>
            <w:vAlign w:val="center"/>
          </w:tcPr>
          <w:p w14:paraId="2827619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定点医</w:t>
            </w:r>
            <w:r>
              <w:rPr>
                <w:rFonts w:hint="eastAsia" w:ascii="仿宋_GB2312" w:hAnsi="仿宋_GB2312" w:eastAsia="仿宋_GB2312" w:cs="仿宋_GB2312"/>
                <w:sz w:val="24"/>
                <w:szCs w:val="24"/>
                <w:lang w:eastAsia="zh-CN"/>
              </w:rPr>
              <w:t>药</w:t>
            </w:r>
            <w:r>
              <w:rPr>
                <w:rFonts w:hint="eastAsia" w:ascii="仿宋_GB2312" w:hAnsi="仿宋_GB2312" w:eastAsia="仿宋_GB2312" w:cs="仿宋_GB2312"/>
                <w:sz w:val="24"/>
                <w:szCs w:val="24"/>
              </w:rPr>
              <w:t>机构</w:t>
            </w:r>
          </w:p>
        </w:tc>
        <w:tc>
          <w:tcPr>
            <w:tcW w:w="1004" w:type="dxa"/>
            <w:vAlign w:val="center"/>
          </w:tcPr>
          <w:p w14:paraId="4142B58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1-2次</w:t>
            </w:r>
          </w:p>
        </w:tc>
        <w:tc>
          <w:tcPr>
            <w:tcW w:w="1942" w:type="dxa"/>
            <w:shd w:val="clear" w:color="auto" w:fill="auto"/>
            <w:vAlign w:val="center"/>
          </w:tcPr>
          <w:p w14:paraId="5ECC270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1.《医疗保障行政处罚程序暂行规定》</w:t>
            </w:r>
          </w:p>
          <w:p w14:paraId="7BA3B5B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2.《医疗保障基金使用监督管理条例》</w:t>
            </w:r>
          </w:p>
          <w:p w14:paraId="5CB25A4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3.《医疗机构医疗保障定点管理暂行办法》</w:t>
            </w:r>
          </w:p>
          <w:p w14:paraId="2753B1A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4.《零售药店医疗保障定点管理暂行办法》</w:t>
            </w:r>
          </w:p>
          <w:p w14:paraId="4ECA43B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5.《医疗保障基金使用监督管理举报处理暂行办法》</w:t>
            </w:r>
          </w:p>
          <w:p w14:paraId="35C37C4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6.《山西省医保局 山西省卫生健康委员会 山西省药监局关于建立定点医药机构相关人员医保支付资格管理实施细则（试行）》</w:t>
            </w:r>
          </w:p>
          <w:p w14:paraId="4C65A81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7.《山西省医疗保障基金监管飞行检查规程》</w:t>
            </w:r>
          </w:p>
          <w:p w14:paraId="6A7E59A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8.《欺诈骗取医疗保障基金行为举报奖励暂行办法》</w:t>
            </w:r>
          </w:p>
          <w:p w14:paraId="3C62EEE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9.《山西省医疗保障基金使用监督管理办法》</w:t>
            </w:r>
          </w:p>
          <w:p w14:paraId="7990F09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10.《山西省医疗保障行政处罚自由裁量基准》</w:t>
            </w:r>
          </w:p>
        </w:tc>
        <w:tc>
          <w:tcPr>
            <w:tcW w:w="1648" w:type="dxa"/>
            <w:vAlign w:val="center"/>
          </w:tcPr>
          <w:p w14:paraId="2CF330C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采取“四不两直”的方式通过省内飞行检查及有针对性地对有举报线索的医药机构进行专项飞检</w:t>
            </w:r>
          </w:p>
        </w:tc>
        <w:tc>
          <w:tcPr>
            <w:tcW w:w="1487" w:type="dxa"/>
            <w:vAlign w:val="center"/>
          </w:tcPr>
          <w:p w14:paraId="326D677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现场检查与非现场检查</w:t>
            </w:r>
          </w:p>
        </w:tc>
        <w:tc>
          <w:tcPr>
            <w:tcW w:w="1567" w:type="dxa"/>
            <w:vAlign w:val="center"/>
          </w:tcPr>
          <w:p w14:paraId="5D87D7A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1.查看定点医疗机构医疗保障基金支付的诊疗项目、检验项目、药品耗材、服务设施是否符合医疗保障基金相关政策；</w:t>
            </w:r>
          </w:p>
          <w:p w14:paraId="18C0451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2.查看定点零售药店医疗保障基金支付的药品耗材是否符合医疗保障基金相关政策；</w:t>
            </w:r>
          </w:p>
          <w:p w14:paraId="434F2A2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3.查看定点医药机构医疗保障基金支出的行为是否符合医疗保险法律、法规规定；</w:t>
            </w:r>
          </w:p>
          <w:p w14:paraId="38554C2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4.查看参保人员费用发生情况，按照数据监管规则（费用、频次等）进行筛查、比对。</w:t>
            </w:r>
          </w:p>
        </w:tc>
        <w:tc>
          <w:tcPr>
            <w:tcW w:w="965" w:type="dxa"/>
            <w:vAlign w:val="center"/>
          </w:tcPr>
          <w:p w14:paraId="621E3FB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vertAlign w:val="baseline"/>
                <w:lang w:val="en-US" w:eastAsia="zh-CN"/>
              </w:rPr>
            </w:pPr>
          </w:p>
        </w:tc>
      </w:tr>
    </w:tbl>
    <w:p w14:paraId="1A743E89">
      <w:pPr>
        <w:rPr>
          <w:rFonts w:hint="eastAsia" w:ascii="仿宋_GB2312" w:hAnsi="仿宋_GB2312" w:eastAsia="仿宋_GB2312" w:cs="仿宋_GB2312"/>
          <w:sz w:val="24"/>
          <w:szCs w:val="24"/>
          <w:lang w:val="en-US" w:eastAsia="zh-CN"/>
        </w:rPr>
      </w:pPr>
    </w:p>
    <w:sectPr>
      <w:footerReference r:id="rId3" w:type="default"/>
      <w:pgSz w:w="16838" w:h="11906" w:orient="landscape"/>
      <w:pgMar w:top="1800" w:right="1440" w:bottom="180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01"/>
    <w:family w:val="auto"/>
    <w:pitch w:val="default"/>
    <w:sig w:usb0="E0000AFF" w:usb1="00007843" w:usb2="00000001" w:usb3="00000000" w:csb0="400001BF" w:csb1="DFF70000"/>
  </w:font>
  <w:font w:name="宋体">
    <w:altName w:val="汉仪书宋二KW"/>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仿宋_GB2312">
    <w:altName w:val="方正仿宋_GBK"/>
    <w:panose1 w:val="00000000000000000000"/>
    <w:charset w:val="00"/>
    <w:family w:val="auto"/>
    <w:pitch w:val="default"/>
    <w:sig w:usb0="00000000" w:usb1="00000000" w:usb2="00000000" w:usb3="00000000" w:csb0="00000000" w:csb1="00000000"/>
  </w:font>
  <w:font w:name="仿宋">
    <w:altName w:val="方正仿宋_GBK"/>
    <w:panose1 w:val="02010609060101010101"/>
    <w:charset w:val="86"/>
    <w:family w:val="auto"/>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A0A9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6D26BA">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B6D26BA">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379B54"/>
    <w:multiLevelType w:val="singleLevel"/>
    <w:tmpl w:val="7D379B54"/>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7905DE"/>
    <w:rsid w:val="0DEB70FE"/>
    <w:rsid w:val="27DC4D49"/>
    <w:rsid w:val="2FA10980"/>
    <w:rsid w:val="2FBFE56C"/>
    <w:rsid w:val="36316D57"/>
    <w:rsid w:val="3BFE40D4"/>
    <w:rsid w:val="3CB26B43"/>
    <w:rsid w:val="43440F03"/>
    <w:rsid w:val="5DE93B9C"/>
    <w:rsid w:val="6EE37A5C"/>
    <w:rsid w:val="75FD6097"/>
    <w:rsid w:val="7753160C"/>
    <w:rsid w:val="77F507E3"/>
    <w:rsid w:val="7B7905DE"/>
    <w:rsid w:val="B61FA454"/>
    <w:rsid w:val="EFCF46C4"/>
    <w:rsid w:val="F7EFE93A"/>
    <w:rsid w:val="FBFD8D6C"/>
    <w:rsid w:val="FD69EA33"/>
    <w:rsid w:val="FFFFA9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1146</Words>
  <Characters>1159</Characters>
  <Lines>0</Lines>
  <Paragraphs>0</Paragraphs>
  <TotalTime>3</TotalTime>
  <ScaleCrop>false</ScaleCrop>
  <LinksUpToDate>false</LinksUpToDate>
  <CharactersWithSpaces>1165</CharactersWithSpaces>
  <Application>WPS Office_7.4.1.8983_F1E327BC-269C-435d-A152-05C5408002CA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2025-02-26T17:25:00Z</dcterms:created>
  <dc:creator>apple</dc:creator>
  <cp:lastModifiedBy>apple</cp:lastModifiedBy>
  <cp:lastPrinted>2025-05-10T09:47:00Z</cp:lastPrinted>
  <dcterms:modified xsi:type="dcterms:W3CDTF">2025-06-12T12:56:37Z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2052-7.4.1.8983</vt:lpwstr>
  </property>
  <property fmtid="{D5CDD505-2E9C-101B-9397-08002B2CF9AE}" pid="3" name="ICV">
    <vt:lpwstr>F5BCCA2E5F8F1671055E4A6822A5EF3E_43</vt:lpwstr>
  </property>
  <property fmtid="{D5CDD505-2E9C-101B-9397-08002B2CF9AE}" pid="4" name="KSOTemplateDocerSaveRecord">
    <vt:lpwstr>eyJoZGlkIjoiZTdjMjEyNDkxZTJmOTFiYmMzMDc5YWRhMWE1MThkNWMiLCJ1c2VySWQiOiI3NTYzODIyOTMifQ==</vt:lpwstr>
  </property>
</Properties>
</file>