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B51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附件2</w:t>
      </w:r>
    </w:p>
    <w:p w14:paraId="0D6F5A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0"/>
        <w:jc w:val="center"/>
        <w:rPr>
          <w:rFonts w:hint="eastAsia" w:ascii="宋体" w:hAnsi="宋体" w:eastAsia="宋体" w:cs="宋体"/>
          <w:i w:val="0"/>
          <w:iCs w:val="0"/>
          <w:caps w:val="0"/>
          <w:color w:val="333333"/>
          <w:spacing w:val="0"/>
          <w:sz w:val="26"/>
          <w:szCs w:val="26"/>
        </w:rPr>
      </w:pPr>
      <w:bookmarkStart w:id="0" w:name="_GoBack"/>
      <w:r>
        <w:rPr>
          <w:rStyle w:val="5"/>
          <w:rFonts w:hint="eastAsia" w:ascii="宋体" w:hAnsi="宋体" w:eastAsia="宋体" w:cs="宋体"/>
          <w:i w:val="0"/>
          <w:iCs w:val="0"/>
          <w:caps w:val="0"/>
          <w:color w:val="FF0000"/>
          <w:spacing w:val="0"/>
          <w:sz w:val="26"/>
          <w:szCs w:val="26"/>
          <w:bdr w:val="none" w:color="auto" w:sz="0" w:space="0"/>
        </w:rPr>
        <w:t>山西省2026年家电以旧换新、数码和智能产品</w:t>
      </w:r>
    </w:p>
    <w:p w14:paraId="07403A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0"/>
        <w:jc w:val="center"/>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FF0000"/>
          <w:spacing w:val="0"/>
          <w:sz w:val="26"/>
          <w:szCs w:val="26"/>
          <w:bdr w:val="none" w:color="auto" w:sz="0" w:space="0"/>
        </w:rPr>
        <w:t>购新补贴工作实施细则</w:t>
      </w:r>
    </w:p>
    <w:bookmarkEnd w:id="0"/>
    <w:p w14:paraId="1D2C89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一、实施时间</w:t>
      </w:r>
    </w:p>
    <w:p w14:paraId="453272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本细则从2026年1月1日起实施。</w:t>
      </w:r>
    </w:p>
    <w:p w14:paraId="055E1B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二、补贴品类、标准及要求</w:t>
      </w:r>
    </w:p>
    <w:p w14:paraId="07B5FA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一）家电以旧换新。对个人消费者购买的以下6类家电新产品给予补贴，产品须符合国家一级能效或水效标准：冰箱（含冰柜、冰吧）、洗衣机（含洗烘一体）、电视、空调（含家用中央空调、空气能采暖机）、热水器、电脑（含台式电脑、笔记本电脑，不含自行组装的兼容机）。</w:t>
      </w:r>
    </w:p>
    <w:p w14:paraId="7ECDE2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数码和智能产品购新补贴。对个人消费者购买单件销售价格（含税）不超过6000元的手机、平板（含具有学习功能的智能教育平板）、智能手表（手环）、智能眼镜（含AR/VR头戴式显示设备）等4类数码和智能产品给予补贴。</w:t>
      </w:r>
    </w:p>
    <w:p w14:paraId="6B3C28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（三）补贴比例与上限。补贴标准为扣除所有环节优惠后最终销售价格的15%。其中，家电产品每件补贴金额不超过1500元，数码和智能产品每件补贴金额不超过500元。</w:t>
      </w:r>
    </w:p>
    <w:p w14:paraId="11A338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（四）上传信息要求。为规范全省消费品以旧换新补贴商品信息管理，防范骗补套补行为，现对补贴商品信息采集与上传工作明确如下要求：</w:t>
      </w:r>
    </w:p>
    <w:p w14:paraId="052C20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1.对电脑、手机、平板、智能手表手环、智能眼镜等高价值数码产品，实行“售前校验、现场激活”管理，即销售前须将S/N码上传至省级服务平台核验补贴资格。拍摄上传包含外包装S/N码与设备屏幕IMEI码（或S/N码）的照片。</w:t>
      </w:r>
    </w:p>
    <w:p w14:paraId="79AE47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2.对冰箱、洗衣机、电视、空调、热水器等大型家电，须分别上传清晰可见产品S/N码照片（家用中央空调以室外机S/N码为准进行采集）。</w:t>
      </w:r>
    </w:p>
    <w:p w14:paraId="4A3548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3.各市商务主管部门（含综改区）须组织各县（市、区）商务主管部门压实销售企业信息采集主体责任，依托省级服务平台加强核验与抽查，确保审核流程高效、标准统一、监管有效。对于销售和物流单据、进销存台账、交易安装照片等要素信息，可由销售主体留存备查，不作为必传内容。</w:t>
      </w:r>
    </w:p>
    <w:p w14:paraId="134630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三、补贴对象及要求</w:t>
      </w:r>
    </w:p>
    <w:p w14:paraId="782616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五）对象范围。在山西省内购买补贴产品并完成收货的个人消费者（1.家电类商品线上邮寄或线下收货安装地址须在山西省内；2.线下电脑笔记本和数码智能类商品收货地址按自提填写，线上收货地址须在山西省内），包括来晋的游客以及外籍人士与港澳台侨居民。2025年已享受上述产品补贴的个人消费者，2026年购买同类产品可继续享受补贴。</w:t>
      </w:r>
    </w:p>
    <w:p w14:paraId="418F8B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（六）数量限制。每位消费者在政策执行期内，对6类家电和4类数码智能产品，每类产品总计限补贴1件（线上线下渠道合并计算）。</w:t>
      </w:r>
    </w:p>
    <w:p w14:paraId="03DA4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七）其他要求。消费者应遵守活动规则，合规享受补贴，不得配合商家通过提高商品售价、虚报数量、虚构交易、虚开发票等行为套骗补。消费者应配合销售主体完整准确上传各类所需信息，还需完成相关部门开展的抽查、检查等配合工作。</w:t>
      </w:r>
    </w:p>
    <w:p w14:paraId="70374F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四、补贴资格发放与核销</w:t>
      </w:r>
    </w:p>
    <w:p w14:paraId="07EEA2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（八）补贴资格。按照“按月均衡使用，并做好月内每周和跨月、跨季度之间的平稳衔接”的要求，我省补贴资格通过“云闪付”服务平台按周限额发放。后续将根据政策实施情况，作出相应调整并公告。</w:t>
      </w:r>
    </w:p>
    <w:p w14:paraId="34FF07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九）发放与核销。线上线下每周五上午10:00至24:00发放新一轮补贴资格，领取时间仅限每周五一天，该资格有效期为当周五10:00至次周四24:00，过期自动作废。线下门店的补贴核销交易时间须为每日10:00至22:00，线上平台的补贴核销交易时间为资格领取后至次周四24:00。</w:t>
      </w:r>
    </w:p>
    <w:p w14:paraId="66F15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线上活动安排。各地商务主管部门要指导线上平台企业，围绕春节、五一、国庆、618购物节、双十一购物节等关键消费节点，集中进行宣传推广和活动组织，补贴资格的发放与核销仍须遵循全省统一周期安排。</w:t>
      </w:r>
    </w:p>
    <w:p w14:paraId="07BC70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五、补贴方式和流程</w:t>
      </w:r>
    </w:p>
    <w:p w14:paraId="51C9FA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全省统一采用“先领券、购买时支付立减”的方式完成操作流程。</w:t>
      </w:r>
    </w:p>
    <w:p w14:paraId="6C043E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（十一）资格券获取。消费者实名注册登录服务平台，按要求提供身份信息，领取补贴资格。资格券即时生效，在有效期内使用。</w:t>
      </w:r>
    </w:p>
    <w:p w14:paraId="73E26F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（十二）选购支付。消费者在参与活动的线上或线下门店选购补贴产品。支付时，使用已领取补贴资格的账户或支付工具，在符合条件的支付渠道完成交易，系统自动核销补贴。</w:t>
      </w:r>
    </w:p>
    <w:p w14:paraId="50DC18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三）开票与激活。销售主体须向消费者开具真实、合法、有效的实名发票，发票抬头与消费者服务平台注册信息一致，发票金额包含政府补贴金额，并注明必要的商品详情及补贴信息。购买电脑、手机、平板、智能手表手环、智能眼镜等需激活产品，线下购买须现场激活；线上购买须在配送员上门时当面拆封亮屏后，进行拍照确认。</w:t>
      </w:r>
    </w:p>
    <w:p w14:paraId="465163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（十四）数据上传。销售主体须在规定时限内，将交易信息（线下要提供pos小票等支付凭证）、发票信息、产品序列号（S/N码）、国际移动设备识别码（IMEI码，如有）等信息上传至服务平台及省级审核系统。</w:t>
      </w:r>
    </w:p>
    <w:p w14:paraId="54D721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（十五）退货处理。</w:t>
      </w:r>
    </w:p>
    <w:p w14:paraId="54481E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1.线上线下发生退货时，遵循“款补双退、资格恢复”原则。销售主体必须通过原支付渠道全额退还消费者实际支付金额，并同时将对应的财政补贴资金原路退还至指定账户。严禁任何形式的“退货不退补”。</w:t>
      </w:r>
    </w:p>
    <w:p w14:paraId="26E3A6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2.各市需督导销售主体与服务平台履行责任。销售主体负责完成资金的双向退回，服务平台应在核实退货后，同步为消费者恢复其本次消费所抵扣的补贴资格，确保可再次申领使用，线上平台不得无故锁定补贴资格。</w:t>
      </w:r>
    </w:p>
    <w:p w14:paraId="77D2A3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3.各地应加强监督，将“退货不退补”等违规行为列为重点检查事项，依法依规对违规主体进行处理，确保补贴资金安全高效使用。</w:t>
      </w:r>
    </w:p>
    <w:p w14:paraId="20AA44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六、销售主体管理</w:t>
      </w:r>
    </w:p>
    <w:p w14:paraId="39EADD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各市商务部门（含综改区）组织各县（市、区）商务主管部门负责本辖区销售主体的征集、审核、日常监管与动态调整。对2025年参与我省活动且无违规行为的销售主体，可简化流程，推荐纳入2026年参与名录。对2024、2025年存在违规行为但已按照相关部门要求完成整改的也可推荐纳入2026年参与名录，对2024年、2025年存在严重骗补套补、价格欺诈、虚假宣传等违法违规行为的销售主体且未按要求整改，或近2年内被列入失信惩戒名单的经营主体，一律取消2026年参与资格。</w:t>
      </w:r>
    </w:p>
    <w:p w14:paraId="6910A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六）主体参与原则。遵循“自愿参与、一视同仁，动态管理、有进有出”原则，对各类所有制、规模、业态的经营主体平等开放，不设置歧视性门槛。销售主体须具备基本垫资能力，建立内部风控制度，承诺防范套骗补。能够与省级服务平台及审核系统实现稳定数据对接，确保交易数据实时、准确、安全传输。</w:t>
      </w:r>
    </w:p>
    <w:p w14:paraId="344473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七）经营能力要求。在山西省内注册或设有分支机构，证照齐全，信用良好，未被列入严重违法失信名单。具备稳定的销售、仓储、配送和服务能力。家电销售主体应主动提供送新收旧一体化服务；数码和智能产品销售主体需提供现场激活、调试等服务；线上销售主体需具备实名认证、地理位置核验等功能，要做好异常收货地址管控，重点监测同一收货地址短期内大量接收补贴产品等情况，发现问题及时处置。</w:t>
      </w:r>
    </w:p>
    <w:p w14:paraId="56D1F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八）销售价格要求。销售主体须严格执行价格备案与承诺公示制度，承诺遵守价格备案、发票开具、信息公示等所有政策规定。参与活动的商品须提前备案销售价格，并公开承诺最终销售价不高于备案价。须在经营场所、网页或App等显著位置逐项标明每款产品初始销售价格、商家优惠让利金额、可享受补贴资金数额和最终销售价格。省商务厅会同服务平台、相关行业协会建立并动态更新全省补贴产品信息库，包含产品备案价、型号、能效等级等。</w:t>
      </w:r>
    </w:p>
    <w:p w14:paraId="41DFCC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十九）禁止违规行为。不得非法使用、泄露或篡改消费者收货地址、联系方式、APP账号或其他个人信息；不得虚构订单、以次充好、以旧充新、低价高开、拆分发票等，不得冒用政府补贴名义进行虚假宣传。对发生退货退款的交易，必须同步退回已发放补贴资金，杜绝“退货不退补”“一机多卖”等违规操作。严禁任何“先涨价后补贴”、虚假标价、价格欺诈、跨省交易等行为。不得配合或参与“黄牛”活动，严禁使用抢券软件，扰乱正常市场秩序。不得冒用政府补贴名义进行虚假宣传，不得强制捆绑销售非补贴产品或增值服务。对存在上述违规行为的销售主体，一经查实，将立即取消其参与资格，追回违规所得补贴资金，并视情节移送相关部门依法处理。</w:t>
      </w:r>
    </w:p>
    <w:p w14:paraId="262F3A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线上销售条件。线上销售主体能够自营或组织平台商户开展销售业务，具备从事线上销售的合法资质和自有线上平台，支持线上支付功能，具备通过手机地理位置定位及相关要素对消费者信息进行核验的能力，能对消费者进行实名认证，能够按照商务主管部门要求传输数据，具备防范骗补、套补等行为的风险管控能力。支持企业探索“电商平台+线下门店”“品牌厂家+社区服务点”“线上下单+门店自提”“旧机回收+新机直送”等创新参与模式，在保障资金安全的前提下，简化销售主体的对接流程。</w:t>
      </w:r>
    </w:p>
    <w:p w14:paraId="3BC922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Style w:val="5"/>
          <w:rFonts w:hint="eastAsia" w:ascii="宋体" w:hAnsi="宋体" w:eastAsia="宋体" w:cs="宋体"/>
          <w:i w:val="0"/>
          <w:iCs w:val="0"/>
          <w:caps w:val="0"/>
          <w:color w:val="333333"/>
          <w:spacing w:val="0"/>
          <w:sz w:val="26"/>
          <w:szCs w:val="26"/>
          <w:bdr w:val="none" w:color="auto" w:sz="0" w:space="0"/>
        </w:rPr>
        <w:t>七、工作要求</w:t>
      </w:r>
    </w:p>
    <w:p w14:paraId="4E7699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一）严控资金安全风险。各市要做好风险防控，夯实销售主体的选取和管理工作，并签订承诺书。推广实名认证、商品编码联网核查等技术手段，加强相关信息真实性、唯一性校验，防范冒用他人补贴资格、违规重复领取补贴等行为，补贴资格申领人、付款人、收货人和发票抬头消费者姓名必须保持一致。严禁任何单位和个人提供虚假交易信息、伪造发票、套取补贴资金，一经查实，立即追回补贴资金，并依法依规追究责任，涉嫌犯罪的移送司法机关依法严厉查处。利用服务平台大数据、人工智能等技术，对虚假交易、一机多卖、异常地址、非营业时间交易等高风险行为进行实时监测预警和拦截。加强产品序列号、IMEI码等信息核验，确保交易闭环可溯。</w:t>
      </w:r>
    </w:p>
    <w:p w14:paraId="34AD31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（二十二）强化政策宣传引导。</w:t>
      </w:r>
      <w:r>
        <w:rPr>
          <w:rFonts w:hint="eastAsia" w:ascii="宋体" w:hAnsi="宋体" w:eastAsia="宋体" w:cs="宋体"/>
          <w:i w:val="0"/>
          <w:iCs w:val="0"/>
          <w:caps w:val="0"/>
          <w:color w:val="333333"/>
          <w:spacing w:val="0"/>
          <w:sz w:val="26"/>
          <w:szCs w:val="26"/>
          <w:bdr w:val="none" w:color="auto" w:sz="0" w:space="0"/>
          <w:shd w:val="clear" w:fill="FFFFFF"/>
        </w:rPr>
        <w:t>各市</w:t>
      </w:r>
      <w:r>
        <w:rPr>
          <w:rFonts w:hint="eastAsia" w:ascii="宋体" w:hAnsi="宋体" w:eastAsia="宋体" w:cs="宋体"/>
          <w:i w:val="0"/>
          <w:iCs w:val="0"/>
          <w:caps w:val="0"/>
          <w:color w:val="333333"/>
          <w:spacing w:val="0"/>
          <w:sz w:val="26"/>
          <w:szCs w:val="26"/>
          <w:bdr w:val="none" w:color="auto" w:sz="0" w:space="0"/>
        </w:rPr>
        <w:t>要多渠道做好政策的宣传解读，</w:t>
      </w:r>
      <w:r>
        <w:rPr>
          <w:rFonts w:hint="eastAsia" w:ascii="宋体" w:hAnsi="宋体" w:eastAsia="宋体" w:cs="宋体"/>
          <w:i w:val="0"/>
          <w:iCs w:val="0"/>
          <w:caps w:val="0"/>
          <w:color w:val="333333"/>
          <w:spacing w:val="0"/>
          <w:sz w:val="26"/>
          <w:szCs w:val="26"/>
          <w:bdr w:val="none" w:color="auto" w:sz="0" w:space="0"/>
          <w:shd w:val="clear" w:fill="FFFFFF"/>
        </w:rPr>
        <w:t>积极支持相关行业商协会深入开展各类促销活动，可统一制作带有商务部门编号的牌匾、宣传横幅等，在线下经营场所显著位置悬挂。</w:t>
      </w:r>
      <w:r>
        <w:rPr>
          <w:rFonts w:hint="eastAsia" w:ascii="宋体" w:hAnsi="宋体" w:eastAsia="宋体" w:cs="宋体"/>
          <w:i w:val="0"/>
          <w:iCs w:val="0"/>
          <w:caps w:val="0"/>
          <w:color w:val="333333"/>
          <w:spacing w:val="0"/>
          <w:sz w:val="26"/>
          <w:szCs w:val="26"/>
          <w:bdr w:val="none" w:color="auto" w:sz="0" w:space="0"/>
        </w:rPr>
        <w:t>利用“购在中国”品牌活动，结合“绿色智能消费季”等主题，依托政务新媒体、社区公告栏、商超电子屏、主流短视频平台及农村广播等渠道开展分众化、多渠道政策宣传，营造良好社会氛围。要创新举办以旧换新专场促消费活动，加强新品推介、供需对接，推动补贴活动进农村、进展会、进商圈、进社区、进企业、进机关，提高公众知晓率。</w:t>
      </w:r>
    </w:p>
    <w:p w14:paraId="6EC579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三）注重线下销售和农村活动开展。引导线上渠道向农村地区倾斜，线上渠道要加大对农村地区资金技术服务等投入。线下渠道方面增加农村地区政策参与主体的数量，并鼓励大型商超专营店专卖店等经营主体，采取大篷车下乡、农村市集、现场展销等方式，将服务网络延伸至农村地区，保障农村地区居民参与政策的可感可触可及。</w:t>
      </w:r>
    </w:p>
    <w:p w14:paraId="05BF71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四）畅通回收利用网络。各市要完善再生资源交投点、中转站、分拣中心三级回收体系，畅通废旧设备和消费品交售渠道，引导“互联网+回收”企业拓展品类，提升废旧消费品回收能力。规范二手商品交易，完善旧货交易管理、评估鉴定等制度，鼓励“互联网+二手”模式发展，支持社区智能回收柜铺设和“以车代库”模式推广，支持有条件的区县建设集中规范的二手商品交易市场。</w:t>
      </w:r>
    </w:p>
    <w:p w14:paraId="4D882E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五）优化审核拨付流程。审核及资金发放服务机构负责本地区补贴申请的审核工作，要优化审核流程，压缩审核时间，重点审核“人、货、钱、票”一致性及合规性。各市商务部门要及时汇总符合补贴条件的销售主体信息，审定补贴金额，向财政部门提出资金申请，财政部门按程序拨付资金。鼓励各市在风险可控前提下，对信用良好的销售主体采取预拨部分资金、滚动拨付资金等方式，加快资金周转，切实减轻企业垫资压力，预拨付比例可由市级商务、财政部门会商决定。政策周期结束后，各市需按规定时限完成资金清算，并及时向省级主管部门报送情况。</w:t>
      </w:r>
    </w:p>
    <w:p w14:paraId="5BFD26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六）优化现场服务体验。鼓励各线下参与主体配备政策咨询专员，确保销售现场“有问必答、有疑必解”。严格落实安全防护措施，科学疏导客流，严防拥挤踩踏、设备漏电、火灾事故等风险。各地商务主管部门应开展常态化巡查，对存在服务不规范、秩序混乱等问题的线下参与主体要指导即时整改，情节严重的可暂停或停止其参与资格。</w:t>
      </w:r>
    </w:p>
    <w:p w14:paraId="49284D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20" w:lineRule="atLeast"/>
        <w:ind w:left="0" w:right="0" w:firstLine="420"/>
        <w:jc w:val="both"/>
        <w:rPr>
          <w:rFonts w:hint="eastAsia" w:ascii="宋体" w:hAnsi="宋体" w:eastAsia="宋体" w:cs="宋体"/>
          <w:i w:val="0"/>
          <w:iCs w:val="0"/>
          <w:caps w:val="0"/>
          <w:color w:val="333333"/>
          <w:spacing w:val="0"/>
          <w:sz w:val="26"/>
          <w:szCs w:val="26"/>
        </w:rPr>
      </w:pPr>
      <w:r>
        <w:rPr>
          <w:rFonts w:hint="eastAsia" w:ascii="宋体" w:hAnsi="宋体" w:eastAsia="宋体" w:cs="宋体"/>
          <w:i w:val="0"/>
          <w:iCs w:val="0"/>
          <w:caps w:val="0"/>
          <w:color w:val="333333"/>
          <w:spacing w:val="0"/>
          <w:sz w:val="26"/>
          <w:szCs w:val="26"/>
          <w:bdr w:val="none" w:color="auto" w:sz="0" w:space="0"/>
        </w:rPr>
        <w:t>（二十七）健全监督管理机制。相关单位须构建“事前备案、事中监测、事后审计”全链条监管体系，鼓励引入第三方审计机构，围绕“人、货、钱、票”开展过程跟踪审计问效。消费者或社会公众发现虚高定价、价格欺诈等市场违规行为，可通过12345政务服务便民热线举报；发现“黄牛”囤券、冒名申领、团伙骗补等涉嫌违法行为，可直接拨打110报警电话举报。有条件的地区可实行有奖举报，主动搜集套补骗补、价格欺诈、违反政策规定等各类违法违规线索，营造共同监督补贴政策实施的良好社会氛围。</w:t>
      </w:r>
    </w:p>
    <w:p w14:paraId="62E2CF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74CFA"/>
    <w:rsid w:val="53F74CFA"/>
    <w:rsid w:val="7FBB4D30"/>
    <w:rsid w:val="BF7CDDB1"/>
    <w:rsid w:val="FFB79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K" w:hAnsi="方正仿宋_GBK" w:eastAsia="方正仿宋_GBK" w:cs="方正仿宋_GBK"/>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2026-02-06T17:23:00Z</dcterms:created>
  <dc:creator>greatwall</dc:creator>
  <cp:lastModifiedBy>greatwall</cp:lastModifiedBy>
  <dcterms:modified xsi:type="dcterms:W3CDTF">2026-02-06T17:24:19Z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B24030D9F06C97001EB385691F4B0CE1_41</vt:lpwstr>
  </property>
</Properties>
</file>